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1B" w:rsidRPr="00472CC2" w:rsidRDefault="00EF21FF" w:rsidP="00EF21FF">
      <w:pPr>
        <w:pStyle w:val="Default"/>
        <w:rPr>
          <w:b/>
          <w:bCs/>
          <w:color w:val="781E65"/>
          <w:sz w:val="40"/>
          <w:szCs w:val="40"/>
        </w:rPr>
      </w:pPr>
      <w:r w:rsidRPr="00472CC2">
        <w:rPr>
          <w:b/>
          <w:bCs/>
          <w:color w:val="781E65"/>
          <w:sz w:val="40"/>
          <w:szCs w:val="40"/>
        </w:rPr>
        <w:t xml:space="preserve">HOJA INFORMATIVA </w:t>
      </w:r>
    </w:p>
    <w:p w:rsidR="00EF21FF" w:rsidRPr="00472CC2" w:rsidRDefault="00EF21FF" w:rsidP="00EF21FF">
      <w:pPr>
        <w:pStyle w:val="Default"/>
        <w:rPr>
          <w:b/>
          <w:bCs/>
          <w:color w:val="781E65"/>
          <w:sz w:val="40"/>
          <w:szCs w:val="40"/>
        </w:rPr>
      </w:pPr>
      <w:r w:rsidRPr="00472CC2">
        <w:rPr>
          <w:b/>
          <w:bCs/>
          <w:color w:val="781E65"/>
          <w:sz w:val="40"/>
          <w:szCs w:val="40"/>
        </w:rPr>
        <w:t xml:space="preserve">FINANCIACIÓN DISPONIBLE PARA EMPLEADORES </w:t>
      </w:r>
    </w:p>
    <w:p w:rsidR="001C771B" w:rsidRPr="00472CC2" w:rsidRDefault="001C771B" w:rsidP="00EF21FF">
      <w:pPr>
        <w:pStyle w:val="Default"/>
        <w:rPr>
          <w:color w:val="781E65"/>
          <w:sz w:val="28"/>
          <w:szCs w:val="28"/>
        </w:rPr>
      </w:pPr>
    </w:p>
    <w:p w:rsidR="00EF21FF" w:rsidRPr="00472CC2" w:rsidRDefault="00EF21FF" w:rsidP="00EF21FF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El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Fondo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(Employment Assistance Fund, EAF)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ofrece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apoyo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financiero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a las personas con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, o 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empleador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adquirir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amplia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472CC2">
        <w:rPr>
          <w:rFonts w:ascii="Century Gothic" w:hAnsi="Century Gothic" w:cs="Century Gothic"/>
          <w:color w:val="781E65"/>
          <w:sz w:val="20"/>
          <w:szCs w:val="20"/>
        </w:rPr>
        <w:t>gama</w:t>
      </w:r>
      <w:proofErr w:type="spellEnd"/>
      <w:proofErr w:type="gram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modificaciones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equipamiento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relacionados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con el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C771B" w:rsidRPr="00472CC2" w:rsidRDefault="001C771B" w:rsidP="00EF21FF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F21FF" w:rsidRPr="00472CC2" w:rsidRDefault="00EF21FF" w:rsidP="00EF21FF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Se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acceder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ayudar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tanto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a las personas con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están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empleadas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472CC2">
        <w:rPr>
          <w:rFonts w:ascii="Century Gothic" w:hAnsi="Century Gothic" w:cs="Century Gothic"/>
          <w:color w:val="781E65"/>
          <w:sz w:val="20"/>
          <w:szCs w:val="20"/>
        </w:rPr>
        <w:t>como</w:t>
      </w:r>
      <w:proofErr w:type="spellEnd"/>
      <w:proofErr w:type="gram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aquellas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personas que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necesitan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buscar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prepararse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para el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mismo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C771B" w:rsidRPr="00472CC2" w:rsidRDefault="001C771B" w:rsidP="00EF21FF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F21FF" w:rsidRPr="00472CC2" w:rsidRDefault="00EF21FF" w:rsidP="00EF21FF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Algunos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ejemplos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cómo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se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utilizar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el EAF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incluyen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1C771B" w:rsidRPr="00472CC2" w:rsidRDefault="001C771B" w:rsidP="00EF21FF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F21FF" w:rsidRPr="00472CC2" w:rsidRDefault="00EF21FF" w:rsidP="001C771B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modificaciones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equipamiento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del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tal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como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tecnología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asistencia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equipamiento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electrónico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y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comunicación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EF21FF" w:rsidRPr="00472CC2" w:rsidRDefault="00EF21FF" w:rsidP="001C771B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dispositivos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tecnología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comunicación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EF21FF" w:rsidRPr="00472CC2" w:rsidRDefault="00EF21FF" w:rsidP="001C771B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interpretación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Auslan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(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lengua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señas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Australia) </w:t>
      </w:r>
    </w:p>
    <w:p w:rsidR="00EF21FF" w:rsidRPr="00472CC2" w:rsidRDefault="00EF21FF" w:rsidP="001C771B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software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computación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actualización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software; </w:t>
      </w:r>
    </w:p>
    <w:p w:rsidR="00EF21FF" w:rsidRPr="00472CC2" w:rsidRDefault="00EF21FF" w:rsidP="001C771B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cambios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físicos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EF21FF" w:rsidRPr="00472CC2" w:rsidRDefault="00EF21FF" w:rsidP="001C771B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modificaciones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trabajar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vehículos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a motor; </w:t>
      </w:r>
    </w:p>
    <w:p w:rsidR="00EF21FF" w:rsidRPr="00472CC2" w:rsidRDefault="00EF21FF" w:rsidP="001C771B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capacitación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concientización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la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sordera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EF21FF" w:rsidRPr="00472CC2" w:rsidRDefault="00EF21FF" w:rsidP="001C771B">
      <w:pPr>
        <w:pStyle w:val="Default"/>
        <w:numPr>
          <w:ilvl w:val="0"/>
          <w:numId w:val="13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capacitación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concientización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; y </w:t>
      </w:r>
    </w:p>
    <w:p w:rsidR="00EF21FF" w:rsidRPr="00472CC2" w:rsidRDefault="00EF21FF" w:rsidP="001C771B">
      <w:pPr>
        <w:pStyle w:val="Default"/>
        <w:numPr>
          <w:ilvl w:val="0"/>
          <w:numId w:val="13"/>
        </w:numPr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proofErr w:type="gramStart"/>
      <w:r w:rsidRPr="00472CC2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proofErr w:type="gram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especializados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relacionados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con el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empleados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enfermedades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mentales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trastornos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del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aprendizaje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EF21FF" w:rsidRPr="00472CC2" w:rsidRDefault="00EF21FF" w:rsidP="00EF21FF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F21FF" w:rsidRPr="00472CC2" w:rsidRDefault="00EF21FF" w:rsidP="00EF21FF">
      <w:pPr>
        <w:pStyle w:val="Default"/>
        <w:rPr>
          <w:rFonts w:ascii="Century Gothic" w:hAnsi="Century Gothic" w:cs="Century Gothic"/>
          <w:b/>
          <w:bCs/>
          <w:color w:val="781E65"/>
          <w:sz w:val="20"/>
          <w:szCs w:val="20"/>
        </w:rPr>
      </w:pPr>
      <w:proofErr w:type="spellStart"/>
      <w:r w:rsidRPr="00472CC2">
        <w:rPr>
          <w:rFonts w:ascii="Century Gothic" w:hAnsi="Century Gothic" w:cs="Century Gothic"/>
          <w:b/>
          <w:bCs/>
          <w:color w:val="781E65"/>
          <w:sz w:val="20"/>
          <w:szCs w:val="20"/>
        </w:rPr>
        <w:t>Subsidios</w:t>
      </w:r>
      <w:proofErr w:type="spellEnd"/>
      <w:r w:rsidRPr="00472CC2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b/>
          <w:bCs/>
          <w:color w:val="781E65"/>
          <w:sz w:val="20"/>
          <w:szCs w:val="20"/>
        </w:rPr>
        <w:t>salariales</w:t>
      </w:r>
      <w:proofErr w:type="spellEnd"/>
      <w:r w:rsidRPr="00472CC2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</w:p>
    <w:p w:rsidR="001C771B" w:rsidRPr="00472CC2" w:rsidRDefault="001C771B" w:rsidP="00EF21FF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F21FF" w:rsidRPr="00472CC2" w:rsidRDefault="00EF21FF" w:rsidP="00EF21FF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Los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subsidios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salariales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proporcionan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472CC2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incentivo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financiero</w:t>
      </w:r>
      <w:bookmarkStart w:id="0" w:name="_GoBack"/>
      <w:bookmarkEnd w:id="0"/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empleadores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para que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ofrezcan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permanente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a las personas con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y 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trabajadores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edad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madura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C771B" w:rsidRPr="00472CC2" w:rsidRDefault="001C771B" w:rsidP="00EF21FF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F21FF" w:rsidRPr="00472CC2" w:rsidRDefault="00EF21FF" w:rsidP="00EF21FF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Como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empleador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usted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reunir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las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condiciones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necesarias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tener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acceso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financiera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apoyar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persona con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mediante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Programa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subsidio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salarial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personas con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(Disability Employment Services, DES) o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mediante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Programa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reinserción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trabajadores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edad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madura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A730F" w:rsidRPr="00472CC2" w:rsidRDefault="00EF21FF" w:rsidP="00EF21FF">
      <w:pPr>
        <w:rPr>
          <w:color w:val="781E65"/>
        </w:rPr>
      </w:pPr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Para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saber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el EAF o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subsidios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salariales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visite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o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llame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gramStart"/>
      <w:r w:rsidRPr="00472CC2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asesor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al 1800 464 800. Se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aplican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cargos a las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llamadas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realizadas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desde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teléfonos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72CC2">
        <w:rPr>
          <w:rFonts w:ascii="Century Gothic" w:hAnsi="Century Gothic" w:cs="Century Gothic"/>
          <w:color w:val="781E65"/>
          <w:sz w:val="20"/>
          <w:szCs w:val="20"/>
        </w:rPr>
        <w:t>móviles</w:t>
      </w:r>
      <w:proofErr w:type="spellEnd"/>
      <w:r w:rsidRPr="00472CC2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472CC2" w:rsidSect="00EB5186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BE" w:rsidRDefault="00AF30BE" w:rsidP="00EF4574">
      <w:pPr>
        <w:spacing w:before="0" w:after="0" w:line="240" w:lineRule="auto"/>
      </w:pPr>
      <w:r>
        <w:separator/>
      </w:r>
    </w:p>
  </w:endnote>
  <w:endnote w:type="continuationSeparator" w:id="0">
    <w:p w:rsidR="00AF30BE" w:rsidRDefault="00AF30B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EF21FF">
    <w:pPr>
      <w:pStyle w:val="Footer"/>
    </w:pPr>
    <w:r w:rsidRPr="00EF21FF">
      <w:rPr>
        <w:rStyle w:val="Emphasis"/>
        <w:color w:val="850C6C"/>
        <w:sz w:val="24"/>
        <w:szCs w:val="24"/>
      </w:rPr>
      <w:t>Accessibility checklist for employers 1892.06.16O</w:t>
    </w:r>
    <w:r w:rsidR="00AF30BE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934400">
      <w:fldChar w:fldCharType="begin"/>
    </w:r>
    <w:r w:rsidR="00B96DCB">
      <w:instrText xml:space="preserve"> PAGE   \* MERGEFORMAT </w:instrText>
    </w:r>
    <w:r w:rsidR="00934400">
      <w:fldChar w:fldCharType="separate"/>
    </w:r>
    <w:r>
      <w:rPr>
        <w:noProof/>
      </w:rPr>
      <w:t>2</w:t>
    </w:r>
    <w:r w:rsidR="0093440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EB5186">
      <w:rPr>
        <w:sz w:val="28"/>
        <w:szCs w:val="28"/>
      </w:rPr>
      <w:t>.</w:t>
    </w:r>
  </w:p>
  <w:p w:rsidR="003959FC" w:rsidRPr="00472CC2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472CC2">
      <w:rPr>
        <w:color w:val="781E65"/>
      </w:rPr>
      <w:t>1800 464 800</w:t>
    </w:r>
    <w:r w:rsidRPr="00472CC2">
      <w:rPr>
        <w:color w:val="781E65"/>
      </w:rPr>
      <w:tab/>
    </w:r>
    <w:r w:rsidRPr="00472CC2">
      <w:rPr>
        <w:color w:val="781E65"/>
      </w:rPr>
      <w:tab/>
      <w:t>www.jobaccess.gov.au</w:t>
    </w:r>
  </w:p>
  <w:p w:rsidR="003959FC" w:rsidRPr="00472CC2" w:rsidRDefault="00A14AA9" w:rsidP="00472CC2">
    <w:pPr>
      <w:spacing w:before="360"/>
      <w:ind w:left="84"/>
      <w:rPr>
        <w:i/>
        <w:iCs/>
        <w:color w:val="781E65"/>
      </w:rPr>
    </w:pPr>
    <w:r w:rsidRPr="00472CC2">
      <w:rPr>
        <w:rStyle w:val="Emphasis"/>
        <w:color w:val="781E65"/>
      </w:rPr>
      <w:t>Funding available for employers</w:t>
    </w:r>
    <w:r w:rsidR="00EB5186" w:rsidRPr="00472CC2">
      <w:rPr>
        <w:rStyle w:val="Emphasis"/>
        <w:color w:val="781E65"/>
      </w:rPr>
      <w:t xml:space="preserve"> V.1.0</w:t>
    </w:r>
    <w:r w:rsidR="00EF21FF" w:rsidRPr="00472CC2">
      <w:rPr>
        <w:rStyle w:val="Emphasis"/>
        <w:color w:val="781E65"/>
      </w:rPr>
      <w:t xml:space="preserve"> </w:t>
    </w:r>
    <w:r w:rsidR="00EB5186" w:rsidRPr="00472CC2">
      <w:rPr>
        <w:rStyle w:val="Emphasis"/>
        <w:color w:val="781E65"/>
      </w:rPr>
      <w:t xml:space="preserve">                                                </w:t>
    </w:r>
    <w:r w:rsidRPr="00472CC2">
      <w:rPr>
        <w:rStyle w:val="Emphasis"/>
        <w:b/>
        <w:i w:val="0"/>
        <w:color w:val="781E65"/>
      </w:rPr>
      <w:t>1896</w:t>
    </w:r>
    <w:r w:rsidR="00EF21FF" w:rsidRPr="00472CC2">
      <w:rPr>
        <w:rStyle w:val="Emphasis"/>
        <w:b/>
        <w:i w:val="0"/>
        <w:color w:val="781E65"/>
      </w:rPr>
      <w:t>.06.16O</w:t>
    </w:r>
    <w:r w:rsidR="00EB5186" w:rsidRPr="00472CC2">
      <w:rPr>
        <w:rStyle w:val="Emphasis"/>
        <w:b/>
        <w:i w:val="0"/>
        <w:color w:val="781E65"/>
      </w:rPr>
      <w:t xml:space="preserve"> -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BE" w:rsidRDefault="00AF30BE" w:rsidP="00EF4574">
      <w:pPr>
        <w:spacing w:before="0" w:after="0" w:line="240" w:lineRule="auto"/>
      </w:pPr>
      <w:r>
        <w:separator/>
      </w:r>
    </w:p>
  </w:footnote>
  <w:footnote w:type="continuationSeparator" w:id="0">
    <w:p w:rsidR="00AF30BE" w:rsidRDefault="00AF30B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0BE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D770C5"/>
    <w:multiLevelType w:val="hybridMultilevel"/>
    <w:tmpl w:val="05FCF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92C"/>
    <w:multiLevelType w:val="hybridMultilevel"/>
    <w:tmpl w:val="9480974E"/>
    <w:lvl w:ilvl="0" w:tplc="4816DBD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3FD6"/>
    <w:multiLevelType w:val="hybridMultilevel"/>
    <w:tmpl w:val="C41E44E0"/>
    <w:lvl w:ilvl="0" w:tplc="132AA6B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C995D29"/>
    <w:multiLevelType w:val="hybridMultilevel"/>
    <w:tmpl w:val="4AB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C771B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F116F"/>
    <w:rsid w:val="00423F31"/>
    <w:rsid w:val="0042695C"/>
    <w:rsid w:val="00431899"/>
    <w:rsid w:val="00472CC2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34400"/>
    <w:rsid w:val="009545B5"/>
    <w:rsid w:val="009A4B7C"/>
    <w:rsid w:val="009B3811"/>
    <w:rsid w:val="009B4D3B"/>
    <w:rsid w:val="009D7407"/>
    <w:rsid w:val="009E0866"/>
    <w:rsid w:val="00A14AA9"/>
    <w:rsid w:val="00A24A62"/>
    <w:rsid w:val="00A31C9F"/>
    <w:rsid w:val="00A55104"/>
    <w:rsid w:val="00AC164A"/>
    <w:rsid w:val="00AF1058"/>
    <w:rsid w:val="00AF2050"/>
    <w:rsid w:val="00AF30BE"/>
    <w:rsid w:val="00B66B14"/>
    <w:rsid w:val="00B96DCB"/>
    <w:rsid w:val="00BB26C5"/>
    <w:rsid w:val="00BC3098"/>
    <w:rsid w:val="00BF4DE6"/>
    <w:rsid w:val="00C42CDE"/>
    <w:rsid w:val="00C67AEE"/>
    <w:rsid w:val="00CA37B1"/>
    <w:rsid w:val="00CB1959"/>
    <w:rsid w:val="00CC4224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B5186"/>
    <w:rsid w:val="00EC15AE"/>
    <w:rsid w:val="00ED43D1"/>
    <w:rsid w:val="00EE4EE1"/>
    <w:rsid w:val="00EF21FF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D3FC476A-E867-45D6-B7B2-B2B1A2B4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9B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04F7-F2BF-4CA3-BEB1-11A00365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2016-07-16T11:42:00Z</dcterms:created>
  <dcterms:modified xsi:type="dcterms:W3CDTF">2016-07-21T07:58:00Z</dcterms:modified>
</cp:coreProperties>
</file>