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25" w:rsidRPr="00E069A9" w:rsidRDefault="00831E25" w:rsidP="00831E25">
      <w:pPr>
        <w:suppressAutoHyphens w:val="0"/>
        <w:spacing w:before="0" w:after="120" w:line="240" w:lineRule="auto"/>
        <w:rPr>
          <w:rFonts w:ascii="Arial" w:eastAsia="Calibri" w:hAnsi="Arial" w:cs="Arial"/>
          <w:b/>
          <w:color w:val="781E65"/>
          <w:sz w:val="44"/>
          <w:szCs w:val="44"/>
          <w:lang w:val="fr-FR"/>
        </w:rPr>
      </w:pPr>
      <w:r w:rsidRPr="00E069A9">
        <w:rPr>
          <w:rFonts w:ascii="Arial" w:eastAsia="Calibri" w:hAnsi="Arial" w:cs="Arial"/>
          <w:b/>
          <w:color w:val="781E65"/>
          <w:sz w:val="44"/>
          <w:szCs w:val="44"/>
          <w:lang w:val="fr-FR"/>
        </w:rPr>
        <w:t>NOTE D’INFORMATION</w:t>
      </w:r>
      <w:r w:rsidRPr="00E069A9">
        <w:rPr>
          <w:rFonts w:ascii="Arial" w:eastAsia="Calibri" w:hAnsi="Arial" w:cs="Arial"/>
          <w:b/>
          <w:color w:val="781E65"/>
          <w:sz w:val="44"/>
          <w:szCs w:val="44"/>
          <w:lang w:val="fr-FR"/>
        </w:rPr>
        <w:br/>
      </w:r>
      <w:r w:rsidRPr="00E069A9">
        <w:rPr>
          <w:rFonts w:ascii="Arial" w:eastAsia="Calibri" w:hAnsi="Arial" w:cs="Arial"/>
          <w:b/>
          <w:caps/>
          <w:color w:val="781E65"/>
          <w:sz w:val="44"/>
          <w:szCs w:val="44"/>
          <w:lang w:val="fr-FR"/>
        </w:rPr>
        <w:t>Êtes-vous un employeur qui souhaite embaucher un mineur ?</w:t>
      </w:r>
    </w:p>
    <w:p w:rsidR="00831E25" w:rsidRPr="00E069A9" w:rsidRDefault="00831E25" w:rsidP="00831E25">
      <w:pPr>
        <w:suppressAutoHyphens w:val="0"/>
        <w:spacing w:before="0" w:after="120" w:line="240" w:lineRule="auto"/>
        <w:rPr>
          <w:rFonts w:ascii="Century Gothic" w:eastAsia="Calibri" w:hAnsi="Century Gothic" w:cs="Arial"/>
          <w:color w:val="781E65"/>
          <w:sz w:val="20"/>
          <w:szCs w:val="20"/>
          <w:lang w:val="fr-FR"/>
        </w:rPr>
      </w:pPr>
      <w:r w:rsidRPr="00E069A9">
        <w:rPr>
          <w:rFonts w:ascii="Century Gothic" w:eastAsia="Calibri" w:hAnsi="Century Gothic" w:cs="Arial"/>
          <w:color w:val="781E65"/>
          <w:sz w:val="20"/>
          <w:szCs w:val="20"/>
          <w:lang w:val="fr-FR"/>
        </w:rPr>
        <w:t>Il est possible que la personne appropriée pour votre entreprise soit un mineur en situation de handicap. Certains services gouvernementaux australiens gratuits peuvent vous aider à trouver un collaborateur mineur en en situation de handicap, et à le maintenir en poste.</w:t>
      </w:r>
    </w:p>
    <w:p w:rsidR="00831E25" w:rsidRPr="00E069A9" w:rsidRDefault="00831E25" w:rsidP="00831E25">
      <w:pPr>
        <w:suppressAutoHyphens w:val="0"/>
        <w:spacing w:before="0" w:after="0" w:line="240" w:lineRule="auto"/>
        <w:rPr>
          <w:rFonts w:ascii="Century Gothic" w:eastAsia="Calibri" w:hAnsi="Century Gothic" w:cs="Arial"/>
          <w:color w:val="781E65"/>
          <w:sz w:val="20"/>
          <w:szCs w:val="20"/>
          <w:lang w:val="fr-FR"/>
        </w:rPr>
      </w:pPr>
    </w:p>
    <w:p w:rsidR="00831E25" w:rsidRPr="00E069A9" w:rsidRDefault="00831E25" w:rsidP="00831E25">
      <w:pPr>
        <w:suppressAutoHyphens w:val="0"/>
        <w:spacing w:before="0" w:after="120" w:line="240" w:lineRule="auto"/>
        <w:rPr>
          <w:rFonts w:ascii="Century Gothic" w:eastAsia="Calibri" w:hAnsi="Century Gothic" w:cs="Arial"/>
          <w:color w:val="781E65"/>
          <w:sz w:val="20"/>
          <w:szCs w:val="20"/>
          <w:lang w:val="fr-FR"/>
        </w:rPr>
      </w:pPr>
      <w:proofErr w:type="spellStart"/>
      <w:r w:rsidRPr="00E069A9">
        <w:rPr>
          <w:rFonts w:ascii="Century Gothic" w:eastAsia="Calibri" w:hAnsi="Century Gothic" w:cs="Arial"/>
          <w:b/>
          <w:i/>
          <w:color w:val="781E65"/>
          <w:sz w:val="22"/>
          <w:lang w:val="fr-FR"/>
        </w:rPr>
        <w:t>Disability</w:t>
      </w:r>
      <w:proofErr w:type="spellEnd"/>
      <w:r w:rsidRPr="00E069A9">
        <w:rPr>
          <w:rFonts w:ascii="Century Gothic" w:eastAsia="Calibri" w:hAnsi="Century Gothic" w:cs="Arial"/>
          <w:b/>
          <w:i/>
          <w:color w:val="781E65"/>
          <w:sz w:val="22"/>
          <w:lang w:val="fr-FR"/>
        </w:rPr>
        <w:t xml:space="preserve"> </w:t>
      </w:r>
      <w:proofErr w:type="spellStart"/>
      <w:r w:rsidRPr="00E069A9">
        <w:rPr>
          <w:rFonts w:ascii="Century Gothic" w:eastAsia="Calibri" w:hAnsi="Century Gothic" w:cs="Arial"/>
          <w:b/>
          <w:i/>
          <w:color w:val="781E65"/>
          <w:sz w:val="22"/>
          <w:lang w:val="fr-FR"/>
        </w:rPr>
        <w:t>Employment</w:t>
      </w:r>
      <w:proofErr w:type="spellEnd"/>
      <w:r w:rsidRPr="00E069A9">
        <w:rPr>
          <w:rFonts w:ascii="Century Gothic" w:eastAsia="Calibri" w:hAnsi="Century Gothic" w:cs="Arial"/>
          <w:b/>
          <w:i/>
          <w:color w:val="781E65"/>
          <w:sz w:val="22"/>
          <w:lang w:val="fr-FR"/>
        </w:rPr>
        <w:t xml:space="preserve"> Services</w:t>
      </w:r>
      <w:r w:rsidRPr="00E069A9">
        <w:rPr>
          <w:rFonts w:ascii="Century Gothic" w:eastAsia="Calibri" w:hAnsi="Century Gothic" w:cs="Arial"/>
          <w:b/>
          <w:color w:val="781E65"/>
          <w:sz w:val="22"/>
          <w:lang w:val="fr-FR"/>
        </w:rPr>
        <w:t xml:space="preserve"> (DES, Services pour l’emploi des personnes en situation de handicap) </w:t>
      </w:r>
      <w:r w:rsidRPr="00E069A9">
        <w:rPr>
          <w:rFonts w:ascii="Century Gothic" w:eastAsia="Calibri" w:hAnsi="Century Gothic" w:cs="Arial"/>
          <w:color w:val="781E65"/>
          <w:sz w:val="20"/>
          <w:szCs w:val="20"/>
          <w:lang w:val="fr-FR"/>
        </w:rPr>
        <w:t>peut vous fournir un certain nombre de services gratuits, notamment une aide pour embaucher et garder des collaborateurs mineurs en situation de handicap. Ce sont des prestataires sous contrat du gouvernement qui fournissent des services pour l’emploi et ils aident les personnes en situation de handicap, vivant avec une blessure ou problème de santé qui répondent aux conditions requises à trouver un emploi et à le conserver.</w:t>
      </w:r>
    </w:p>
    <w:p w:rsidR="00831E25" w:rsidRPr="00E069A9" w:rsidRDefault="00831E25" w:rsidP="00831E25">
      <w:pPr>
        <w:suppressAutoHyphens w:val="0"/>
        <w:spacing w:before="0" w:after="120" w:line="240" w:lineRule="auto"/>
        <w:rPr>
          <w:rFonts w:ascii="Century Gothic" w:eastAsia="Calibri" w:hAnsi="Century Gothic" w:cs="Arial"/>
          <w:b/>
          <w:color w:val="781E65"/>
          <w:sz w:val="20"/>
          <w:szCs w:val="20"/>
          <w:lang w:val="fr-FR"/>
        </w:rPr>
      </w:pPr>
      <w:r w:rsidRPr="00E069A9">
        <w:rPr>
          <w:rFonts w:ascii="Century Gothic" w:eastAsia="Calibri" w:hAnsi="Century Gothic" w:cs="Arial"/>
          <w:color w:val="781E65"/>
          <w:sz w:val="20"/>
          <w:szCs w:val="20"/>
          <w:lang w:val="fr-FR"/>
        </w:rPr>
        <w:t>Le</w:t>
      </w:r>
      <w:r w:rsidRPr="00E069A9">
        <w:rPr>
          <w:rFonts w:ascii="Century Gothic" w:eastAsia="Calibri" w:hAnsi="Century Gothic" w:cs="Arial"/>
          <w:b/>
          <w:color w:val="781E65"/>
          <w:sz w:val="22"/>
          <w:lang w:val="fr-FR"/>
        </w:rPr>
        <w:t xml:space="preserve"> </w:t>
      </w:r>
      <w:proofErr w:type="spellStart"/>
      <w:r w:rsidRPr="00E069A9">
        <w:rPr>
          <w:rFonts w:ascii="Century Gothic" w:eastAsia="Calibri" w:hAnsi="Century Gothic" w:cs="Arial"/>
          <w:b/>
          <w:i/>
          <w:color w:val="781E65"/>
          <w:sz w:val="22"/>
          <w:lang w:val="fr-FR"/>
        </w:rPr>
        <w:t>Community</w:t>
      </w:r>
      <w:proofErr w:type="spellEnd"/>
      <w:r w:rsidRPr="00E069A9">
        <w:rPr>
          <w:rFonts w:ascii="Century Gothic" w:eastAsia="Calibri" w:hAnsi="Century Gothic" w:cs="Arial"/>
          <w:b/>
          <w:i/>
          <w:color w:val="781E65"/>
          <w:sz w:val="22"/>
          <w:lang w:val="fr-FR"/>
        </w:rPr>
        <w:t xml:space="preserve"> </w:t>
      </w:r>
      <w:proofErr w:type="spellStart"/>
      <w:r w:rsidRPr="00E069A9">
        <w:rPr>
          <w:rFonts w:ascii="Century Gothic" w:eastAsia="Calibri" w:hAnsi="Century Gothic" w:cs="Arial"/>
          <w:b/>
          <w:i/>
          <w:color w:val="781E65"/>
          <w:sz w:val="22"/>
          <w:lang w:val="fr-FR"/>
        </w:rPr>
        <w:t>Development</w:t>
      </w:r>
      <w:proofErr w:type="spellEnd"/>
      <w:r w:rsidRPr="00E069A9">
        <w:rPr>
          <w:rFonts w:ascii="Century Gothic" w:eastAsia="Calibri" w:hAnsi="Century Gothic" w:cs="Arial"/>
          <w:b/>
          <w:i/>
          <w:color w:val="781E65"/>
          <w:sz w:val="22"/>
          <w:lang w:val="fr-FR"/>
        </w:rPr>
        <w:t xml:space="preserve"> Programme</w:t>
      </w:r>
      <w:r w:rsidRPr="00E069A9">
        <w:rPr>
          <w:rFonts w:ascii="Century Gothic" w:eastAsia="Calibri" w:hAnsi="Century Gothic" w:cs="Arial"/>
          <w:b/>
          <w:color w:val="781E65"/>
          <w:sz w:val="22"/>
          <w:lang w:val="fr-FR"/>
        </w:rPr>
        <w:t xml:space="preserve"> (CDP, Programme de développement local) </w:t>
      </w:r>
      <w:r w:rsidRPr="00E069A9">
        <w:rPr>
          <w:rFonts w:ascii="Century Gothic" w:eastAsia="Calibri" w:hAnsi="Century Gothic" w:cs="Arial"/>
          <w:color w:val="781E65"/>
          <w:sz w:val="20"/>
          <w:szCs w:val="20"/>
          <w:lang w:val="fr-FR"/>
        </w:rPr>
        <w:t>peut vous aider à trouver le personnel approprié si vous vivez dans une région isolée de l’Australie et cherchez à employer un mineur en situation de handicap.</w:t>
      </w:r>
    </w:p>
    <w:p w:rsidR="00831E25" w:rsidRPr="00E069A9" w:rsidRDefault="00831E25" w:rsidP="00831E25">
      <w:pPr>
        <w:suppressAutoHyphens w:val="0"/>
        <w:spacing w:before="0" w:after="120" w:line="240" w:lineRule="auto"/>
        <w:rPr>
          <w:rFonts w:ascii="Century Gothic" w:eastAsia="Calibri" w:hAnsi="Century Gothic" w:cs="Arial"/>
          <w:color w:val="781E65"/>
          <w:sz w:val="20"/>
          <w:szCs w:val="20"/>
          <w:lang w:val="fr-FR"/>
        </w:rPr>
      </w:pPr>
      <w:r w:rsidRPr="00E069A9">
        <w:rPr>
          <w:rFonts w:ascii="Century Gothic" w:eastAsia="Calibri" w:hAnsi="Century Gothic" w:cs="Arial"/>
          <w:b/>
          <w:color w:val="781E65"/>
          <w:sz w:val="22"/>
          <w:lang w:val="fr-FR"/>
        </w:rPr>
        <w:t xml:space="preserve">L’apprentissage et les périodes de formation </w:t>
      </w:r>
      <w:r w:rsidRPr="00E069A9">
        <w:rPr>
          <w:rFonts w:ascii="Century Gothic" w:eastAsia="Calibri" w:hAnsi="Century Gothic" w:cs="Arial"/>
          <w:color w:val="781E65"/>
          <w:sz w:val="20"/>
          <w:szCs w:val="20"/>
          <w:lang w:val="fr-FR"/>
        </w:rPr>
        <w:t>peuvent être un bon moyen d’attirer, de former, et de garder les employés qui répondent aux besoins spécifiques de votre entreprise et de votre secteur d’activité.</w:t>
      </w:r>
    </w:p>
    <w:p w:rsidR="00831E25" w:rsidRPr="00E069A9" w:rsidRDefault="00831E25" w:rsidP="00831E25">
      <w:pPr>
        <w:numPr>
          <w:ilvl w:val="0"/>
          <w:numId w:val="11"/>
        </w:numPr>
        <w:tabs>
          <w:tab w:val="left" w:pos="567"/>
        </w:tabs>
        <w:suppressAutoHyphens w:val="0"/>
        <w:spacing w:before="0" w:after="120" w:line="240" w:lineRule="auto"/>
        <w:ind w:left="567" w:hanging="567"/>
        <w:rPr>
          <w:rFonts w:ascii="Century Gothic" w:eastAsia="Calibri" w:hAnsi="Century Gothic" w:cs="Arial"/>
          <w:color w:val="781E65"/>
          <w:sz w:val="20"/>
          <w:szCs w:val="20"/>
          <w:lang w:val="fr-FR"/>
        </w:rPr>
      </w:pPr>
      <w:r w:rsidRPr="00E069A9">
        <w:rPr>
          <w:rFonts w:ascii="Century Gothic" w:eastAsia="Calibri" w:hAnsi="Century Gothic" w:cs="Arial"/>
          <w:b/>
          <w:color w:val="781E65"/>
          <w:sz w:val="22"/>
          <w:lang w:val="fr-FR"/>
        </w:rPr>
        <w:t>L’apprentissage australien</w:t>
      </w:r>
      <w:r w:rsidRPr="00E069A9">
        <w:rPr>
          <w:rFonts w:ascii="Century Gothic" w:eastAsia="Calibri" w:hAnsi="Century Gothic" w:cs="Arial"/>
          <w:color w:val="781E65"/>
          <w:sz w:val="20"/>
          <w:szCs w:val="20"/>
          <w:lang w:val="fr-FR"/>
        </w:rPr>
        <w:t xml:space="preserve"> est conçu pour être flexible pour répondre à vos besoins et à ceux des employés.</w:t>
      </w:r>
    </w:p>
    <w:p w:rsidR="00831E25" w:rsidRPr="00E069A9" w:rsidRDefault="00831E25" w:rsidP="004A36EC">
      <w:pPr>
        <w:numPr>
          <w:ilvl w:val="0"/>
          <w:numId w:val="11"/>
        </w:numPr>
        <w:tabs>
          <w:tab w:val="left" w:pos="567"/>
        </w:tabs>
        <w:suppressAutoHyphens w:val="0"/>
        <w:spacing w:before="0" w:after="120" w:line="240" w:lineRule="auto"/>
        <w:ind w:left="567" w:hanging="567"/>
        <w:rPr>
          <w:rFonts w:ascii="Century Gothic" w:eastAsia="Calibri" w:hAnsi="Century Gothic" w:cs="Arial"/>
          <w:color w:val="781E65"/>
          <w:sz w:val="20"/>
          <w:szCs w:val="20"/>
          <w:lang w:val="fr-FR"/>
        </w:rPr>
      </w:pPr>
      <w:r w:rsidRPr="00E069A9">
        <w:rPr>
          <w:rFonts w:ascii="Century Gothic" w:eastAsia="Calibri" w:hAnsi="Century Gothic" w:cs="Arial"/>
          <w:color w:val="781E65"/>
          <w:sz w:val="20"/>
          <w:szCs w:val="20"/>
          <w:lang w:val="fr-FR"/>
        </w:rPr>
        <w:t xml:space="preserve">Le </w:t>
      </w:r>
      <w:proofErr w:type="spellStart"/>
      <w:r w:rsidRPr="00E069A9">
        <w:rPr>
          <w:rFonts w:ascii="Century Gothic" w:eastAsia="Calibri" w:hAnsi="Century Gothic" w:cs="Arial"/>
          <w:b/>
          <w:i/>
          <w:color w:val="781E65"/>
          <w:sz w:val="22"/>
          <w:lang w:val="fr-FR"/>
        </w:rPr>
        <w:t>Disabled</w:t>
      </w:r>
      <w:proofErr w:type="spellEnd"/>
      <w:r w:rsidRPr="00E069A9">
        <w:rPr>
          <w:rFonts w:ascii="Century Gothic" w:eastAsia="Calibri" w:hAnsi="Century Gothic" w:cs="Arial"/>
          <w:b/>
          <w:i/>
          <w:color w:val="781E65"/>
          <w:sz w:val="22"/>
          <w:lang w:val="fr-FR"/>
        </w:rPr>
        <w:t xml:space="preserve"> </w:t>
      </w:r>
      <w:proofErr w:type="spellStart"/>
      <w:r w:rsidRPr="00E069A9">
        <w:rPr>
          <w:rFonts w:ascii="Century Gothic" w:eastAsia="Calibri" w:hAnsi="Century Gothic" w:cs="Arial"/>
          <w:b/>
          <w:i/>
          <w:color w:val="781E65"/>
          <w:sz w:val="22"/>
          <w:lang w:val="fr-FR"/>
        </w:rPr>
        <w:t>Australian</w:t>
      </w:r>
      <w:proofErr w:type="spellEnd"/>
      <w:r w:rsidRPr="00E069A9">
        <w:rPr>
          <w:rFonts w:ascii="Century Gothic" w:eastAsia="Calibri" w:hAnsi="Century Gothic" w:cs="Arial"/>
          <w:b/>
          <w:i/>
          <w:color w:val="781E65"/>
          <w:sz w:val="22"/>
          <w:lang w:val="fr-FR"/>
        </w:rPr>
        <w:t xml:space="preserve"> </w:t>
      </w:r>
      <w:proofErr w:type="spellStart"/>
      <w:r w:rsidRPr="00E069A9">
        <w:rPr>
          <w:rFonts w:ascii="Century Gothic" w:eastAsia="Calibri" w:hAnsi="Century Gothic" w:cs="Arial"/>
          <w:b/>
          <w:i/>
          <w:color w:val="781E65"/>
          <w:sz w:val="22"/>
          <w:lang w:val="fr-FR"/>
        </w:rPr>
        <w:t>Apprentice</w:t>
      </w:r>
      <w:proofErr w:type="spellEnd"/>
      <w:r w:rsidRPr="00E069A9">
        <w:rPr>
          <w:rFonts w:ascii="Century Gothic" w:eastAsia="Calibri" w:hAnsi="Century Gothic" w:cs="Arial"/>
          <w:b/>
          <w:i/>
          <w:color w:val="781E65"/>
          <w:sz w:val="22"/>
          <w:lang w:val="fr-FR"/>
        </w:rPr>
        <w:t xml:space="preserve"> </w:t>
      </w:r>
      <w:proofErr w:type="spellStart"/>
      <w:r w:rsidRPr="00E069A9">
        <w:rPr>
          <w:rFonts w:ascii="Century Gothic" w:eastAsia="Calibri" w:hAnsi="Century Gothic" w:cs="Arial"/>
          <w:b/>
          <w:i/>
          <w:color w:val="781E65"/>
          <w:sz w:val="22"/>
          <w:lang w:val="fr-FR"/>
        </w:rPr>
        <w:t>Wage</w:t>
      </w:r>
      <w:proofErr w:type="spellEnd"/>
      <w:r w:rsidRPr="00E069A9">
        <w:rPr>
          <w:rFonts w:ascii="Century Gothic" w:eastAsia="Calibri" w:hAnsi="Century Gothic" w:cs="Arial"/>
          <w:b/>
          <w:i/>
          <w:color w:val="781E65"/>
          <w:sz w:val="22"/>
          <w:lang w:val="fr-FR"/>
        </w:rPr>
        <w:t xml:space="preserve"> Support</w:t>
      </w:r>
      <w:r w:rsidRPr="00E069A9">
        <w:rPr>
          <w:rFonts w:ascii="Century Gothic" w:eastAsia="Calibri" w:hAnsi="Century Gothic" w:cs="Arial"/>
          <w:color w:val="781E65"/>
          <w:sz w:val="20"/>
          <w:szCs w:val="20"/>
          <w:lang w:val="fr-FR"/>
        </w:rPr>
        <w:t xml:space="preserve"> </w:t>
      </w:r>
      <w:r w:rsidRPr="00E069A9">
        <w:rPr>
          <w:rFonts w:ascii="Century Gothic" w:eastAsia="Calibri" w:hAnsi="Century Gothic" w:cs="Arial"/>
          <w:b/>
          <w:color w:val="781E65"/>
          <w:sz w:val="22"/>
          <w:lang w:val="fr-FR"/>
        </w:rPr>
        <w:t>(DAAWS, Aide salariale pour les apprentis australiens handicapés)</w:t>
      </w:r>
      <w:r w:rsidRPr="00E069A9">
        <w:rPr>
          <w:rFonts w:ascii="Century Gothic" w:eastAsia="Calibri" w:hAnsi="Century Gothic" w:cs="Arial"/>
          <w:color w:val="781E65"/>
          <w:sz w:val="20"/>
          <w:szCs w:val="20"/>
          <w:lang w:val="fr-FR"/>
        </w:rPr>
        <w:t xml:space="preserve"> est une allocation visant à vous assurer que votre apprenti en situation de handicap peut participer complètement à son apprentissage. Vous avez également accès à DAAWS si votre apprenti australien devient handicapé pendant son apprentissage ou sa période de formation.</w:t>
      </w:r>
      <w:r w:rsidR="004A36EC" w:rsidRPr="00E069A9">
        <w:rPr>
          <w:rFonts w:ascii="Century Gothic" w:eastAsia="Calibri" w:hAnsi="Century Gothic" w:cs="Arial"/>
          <w:color w:val="781E65"/>
          <w:sz w:val="20"/>
          <w:szCs w:val="20"/>
          <w:lang w:val="fr-FR"/>
        </w:rPr>
        <w:br/>
      </w:r>
    </w:p>
    <w:p w:rsidR="00831E25" w:rsidRPr="00E069A9" w:rsidRDefault="00831E25" w:rsidP="00831E25">
      <w:pPr>
        <w:suppressAutoHyphens w:val="0"/>
        <w:spacing w:before="0" w:after="120" w:line="240" w:lineRule="auto"/>
        <w:rPr>
          <w:rFonts w:ascii="Century Gothic" w:eastAsia="Calibri" w:hAnsi="Century Gothic" w:cs="Arial"/>
          <w:color w:val="781E65"/>
          <w:sz w:val="20"/>
          <w:szCs w:val="20"/>
          <w:lang w:val="fr-FR"/>
        </w:rPr>
      </w:pPr>
      <w:r w:rsidRPr="00E069A9">
        <w:rPr>
          <w:rFonts w:ascii="Century Gothic" w:eastAsia="Calibri" w:hAnsi="Century Gothic" w:cs="Arial"/>
          <w:color w:val="781E65"/>
          <w:sz w:val="20"/>
          <w:szCs w:val="20"/>
          <w:lang w:val="fr-FR"/>
        </w:rPr>
        <w:t xml:space="preserve">Pour davantage d’informations sur l’un de ces services, vous pouvez consulter </w:t>
      </w:r>
      <w:proofErr w:type="spellStart"/>
      <w:r w:rsidRPr="00E069A9">
        <w:rPr>
          <w:rFonts w:ascii="Century Gothic" w:eastAsia="Calibri" w:hAnsi="Century Gothic" w:cs="Arial"/>
          <w:color w:val="781E65"/>
          <w:sz w:val="20"/>
          <w:szCs w:val="20"/>
          <w:lang w:val="fr-FR"/>
        </w:rPr>
        <w:t>JobAccess</w:t>
      </w:r>
      <w:proofErr w:type="spellEnd"/>
      <w:r w:rsidRPr="00E069A9">
        <w:rPr>
          <w:rFonts w:ascii="Century Gothic" w:eastAsia="Calibri" w:hAnsi="Century Gothic" w:cs="Arial"/>
          <w:color w:val="781E65"/>
          <w:sz w:val="20"/>
          <w:szCs w:val="20"/>
          <w:lang w:val="fr-FR"/>
        </w:rPr>
        <w:t xml:space="preserve"> sur www.jobaccess.gov.au ou appeler un conseiller </w:t>
      </w:r>
      <w:proofErr w:type="spellStart"/>
      <w:r w:rsidRPr="00E069A9">
        <w:rPr>
          <w:rFonts w:ascii="Century Gothic" w:eastAsia="Calibri" w:hAnsi="Century Gothic" w:cs="Arial"/>
          <w:color w:val="781E65"/>
          <w:sz w:val="20"/>
          <w:szCs w:val="20"/>
          <w:lang w:val="fr-FR"/>
        </w:rPr>
        <w:t>JobAccess</w:t>
      </w:r>
      <w:proofErr w:type="spellEnd"/>
      <w:r w:rsidRPr="00E069A9">
        <w:rPr>
          <w:rFonts w:ascii="Century Gothic" w:eastAsia="Calibri" w:hAnsi="Century Gothic" w:cs="Arial"/>
          <w:color w:val="781E65"/>
          <w:sz w:val="20"/>
          <w:szCs w:val="20"/>
          <w:lang w:val="fr-FR"/>
        </w:rPr>
        <w:t xml:space="preserve"> au 1800 464 800 – les appels à partir de téléphones portables sont facturés. </w:t>
      </w:r>
      <w:hyperlink r:id="rId8" w:history="1"/>
    </w:p>
    <w:p w:rsidR="00831E25" w:rsidRPr="00E069A9" w:rsidRDefault="00831E25" w:rsidP="00831E25">
      <w:pPr>
        <w:suppressAutoHyphens w:val="0"/>
        <w:autoSpaceDE w:val="0"/>
        <w:autoSpaceDN w:val="0"/>
        <w:adjustRightInd w:val="0"/>
        <w:spacing w:before="0" w:after="120" w:line="240" w:lineRule="auto"/>
        <w:rPr>
          <w:rFonts w:ascii="Century Gothic" w:eastAsia="Calibri" w:hAnsi="Century Gothic" w:cs="Arial"/>
          <w:color w:val="781E65"/>
          <w:sz w:val="20"/>
          <w:szCs w:val="20"/>
          <w:lang w:val="fr-FR"/>
        </w:rPr>
      </w:pPr>
    </w:p>
    <w:p w:rsidR="008A730F" w:rsidRPr="00E069A9" w:rsidRDefault="008A730F" w:rsidP="00831E25">
      <w:pPr>
        <w:rPr>
          <w:color w:val="781E65"/>
        </w:rPr>
      </w:pPr>
      <w:bookmarkStart w:id="0" w:name="_GoBack"/>
      <w:bookmarkEnd w:id="0"/>
    </w:p>
    <w:sectPr w:rsidR="008A730F" w:rsidRPr="00E069A9" w:rsidSect="00BF2285">
      <w:footerReference w:type="default" r:id="rId9"/>
      <w:headerReference w:type="first" r:id="rId10"/>
      <w:footerReference w:type="first" r:id="rId11"/>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78" w:rsidRDefault="00C67378" w:rsidP="00EF4574">
      <w:pPr>
        <w:spacing w:before="0" w:after="0" w:line="240" w:lineRule="auto"/>
      </w:pPr>
      <w:r>
        <w:separator/>
      </w:r>
    </w:p>
  </w:endnote>
  <w:endnote w:type="continuationSeparator" w:id="0">
    <w:p w:rsidR="00C67378" w:rsidRDefault="00C67378"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C67378">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BF2285">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4A36EC">
      <w:rPr>
        <w:sz w:val="28"/>
        <w:szCs w:val="28"/>
      </w:rPr>
      <w:t>.</w:t>
    </w:r>
  </w:p>
  <w:p w:rsidR="003959FC" w:rsidRPr="00E069A9" w:rsidRDefault="003959FC" w:rsidP="00D93AC4">
    <w:pPr>
      <w:pStyle w:val="Heading1"/>
      <w:tabs>
        <w:tab w:val="right" w:pos="5879"/>
      </w:tabs>
      <w:spacing w:before="240"/>
      <w:ind w:left="3360"/>
      <w:rPr>
        <w:color w:val="781E65"/>
      </w:rPr>
    </w:pPr>
    <w:r w:rsidRPr="00E069A9">
      <w:rPr>
        <w:color w:val="781E65"/>
      </w:rPr>
      <w:t>1800 464 800</w:t>
    </w:r>
    <w:r w:rsidRPr="00E069A9">
      <w:rPr>
        <w:color w:val="781E65"/>
      </w:rPr>
      <w:tab/>
    </w:r>
    <w:r w:rsidRPr="00E069A9">
      <w:rPr>
        <w:color w:val="781E65"/>
      </w:rPr>
      <w:tab/>
      <w:t>www.jobaccess.gov.au</w:t>
    </w:r>
  </w:p>
  <w:p w:rsidR="003959FC" w:rsidRPr="00E069A9" w:rsidRDefault="00F44C22" w:rsidP="00D93AC4">
    <w:pPr>
      <w:spacing w:before="360"/>
      <w:ind w:left="84"/>
      <w:rPr>
        <w:rStyle w:val="Emphasis"/>
        <w:color w:val="781E65"/>
      </w:rPr>
    </w:pPr>
    <w:r w:rsidRPr="00E069A9">
      <w:rPr>
        <w:rStyle w:val="Emphasis"/>
        <w:color w:val="781E65"/>
      </w:rPr>
      <w:t>Are you an employer who wants to employ a young person?</w:t>
    </w:r>
    <w:r w:rsidR="004A36EC" w:rsidRPr="00E069A9">
      <w:rPr>
        <w:rStyle w:val="Emphasis"/>
        <w:color w:val="781E65"/>
      </w:rPr>
      <w:t xml:space="preserve"> V.1.0</w:t>
    </w:r>
    <w:r w:rsidR="00DA1C4A" w:rsidRPr="00E069A9">
      <w:rPr>
        <w:rStyle w:val="Emphasis"/>
        <w:color w:val="781E65"/>
      </w:rPr>
      <w:t xml:space="preserve"> </w:t>
    </w:r>
    <w:r w:rsidR="004A36EC" w:rsidRPr="00E069A9">
      <w:rPr>
        <w:rStyle w:val="Emphasis"/>
        <w:color w:val="781E65"/>
      </w:rPr>
      <w:tab/>
      <w:t xml:space="preserve">    </w:t>
    </w:r>
    <w:r w:rsidR="00BF2285" w:rsidRPr="00E069A9">
      <w:rPr>
        <w:rStyle w:val="Emphasis"/>
        <w:b/>
        <w:bCs/>
        <w:i w:val="0"/>
        <w:iCs w:val="0"/>
        <w:color w:val="781E65"/>
      </w:rPr>
      <w:t>18</w:t>
    </w:r>
    <w:r w:rsidRPr="00E069A9">
      <w:rPr>
        <w:rStyle w:val="Emphasis"/>
        <w:b/>
        <w:bCs/>
        <w:i w:val="0"/>
        <w:iCs w:val="0"/>
        <w:color w:val="781E65"/>
      </w:rPr>
      <w:t>93</w:t>
    </w:r>
    <w:r w:rsidR="00DA1C4A" w:rsidRPr="00E069A9">
      <w:rPr>
        <w:rStyle w:val="Emphasis"/>
        <w:b/>
        <w:bCs/>
        <w:i w:val="0"/>
        <w:iCs w:val="0"/>
        <w:color w:val="781E65"/>
      </w:rPr>
      <w:t>.06.16T</w:t>
    </w:r>
    <w:r w:rsidR="004A36EC" w:rsidRPr="00E069A9">
      <w:rPr>
        <w:rStyle w:val="Emphasis"/>
        <w:b/>
        <w:bCs/>
        <w:i w:val="0"/>
        <w:iCs w:val="0"/>
        <w:color w:val="781E65"/>
      </w:rPr>
      <w:t xml:space="preserve"> - FRENCH</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78" w:rsidRDefault="00C67378" w:rsidP="00EF4574">
      <w:pPr>
        <w:spacing w:before="0" w:after="0" w:line="240" w:lineRule="auto"/>
      </w:pPr>
      <w:r>
        <w:separator/>
      </w:r>
    </w:p>
  </w:footnote>
  <w:footnote w:type="continuationSeparator" w:id="0">
    <w:p w:rsidR="00C67378" w:rsidRDefault="00C67378"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C67378">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3183"/>
    <w:rsid w:val="0002782F"/>
    <w:rsid w:val="00054E4D"/>
    <w:rsid w:val="00060073"/>
    <w:rsid w:val="000705F9"/>
    <w:rsid w:val="0011342E"/>
    <w:rsid w:val="001541EA"/>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A36EC"/>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31E25"/>
    <w:rsid w:val="008407C0"/>
    <w:rsid w:val="00894A5F"/>
    <w:rsid w:val="008A730F"/>
    <w:rsid w:val="009545B5"/>
    <w:rsid w:val="009A4B7C"/>
    <w:rsid w:val="009B4D3B"/>
    <w:rsid w:val="009D45B3"/>
    <w:rsid w:val="009D7407"/>
    <w:rsid w:val="009E0866"/>
    <w:rsid w:val="009F3A35"/>
    <w:rsid w:val="00A24A62"/>
    <w:rsid w:val="00A31C9F"/>
    <w:rsid w:val="00A55104"/>
    <w:rsid w:val="00AC164A"/>
    <w:rsid w:val="00AF1058"/>
    <w:rsid w:val="00AF2050"/>
    <w:rsid w:val="00B23BA8"/>
    <w:rsid w:val="00B66B14"/>
    <w:rsid w:val="00B96DCB"/>
    <w:rsid w:val="00BB26C5"/>
    <w:rsid w:val="00BC3098"/>
    <w:rsid w:val="00BF2285"/>
    <w:rsid w:val="00BF4DE6"/>
    <w:rsid w:val="00C42CDE"/>
    <w:rsid w:val="00C67378"/>
    <w:rsid w:val="00CA37B1"/>
    <w:rsid w:val="00CB1959"/>
    <w:rsid w:val="00CD5CE5"/>
    <w:rsid w:val="00D0296C"/>
    <w:rsid w:val="00D93AC4"/>
    <w:rsid w:val="00D948FE"/>
    <w:rsid w:val="00DA1C4A"/>
    <w:rsid w:val="00DB62EE"/>
    <w:rsid w:val="00E069A9"/>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684E"/>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C0B4492C-5D32-46FD-9044-90482A1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0FBB-BCF3-4D69-8ED5-CC4B714E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5</cp:revision>
  <cp:lastPrinted>2013-10-29T09:49:00Z</cp:lastPrinted>
  <dcterms:created xsi:type="dcterms:W3CDTF">2016-07-15T11:04:00Z</dcterms:created>
  <dcterms:modified xsi:type="dcterms:W3CDTF">2016-07-20T10:01:00Z</dcterms:modified>
</cp:coreProperties>
</file>