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F3AC9" w14:textId="77777777" w:rsidR="00A150B1" w:rsidRPr="00A150B1" w:rsidRDefault="00EB0485" w:rsidP="00A150B1">
      <w:pPr>
        <w:jc w:val="center"/>
      </w:pPr>
      <w:bookmarkStart w:id="0" w:name="_Toc266886219"/>
      <w:bookmarkStart w:id="1" w:name="_GoBack"/>
      <w:bookmarkEnd w:id="1"/>
      <w:r>
        <w:rPr>
          <w:noProof/>
        </w:rPr>
        <w:drawing>
          <wp:inline distT="0" distB="0" distL="0" distR="0" wp14:anchorId="0AF725ED" wp14:editId="4676ADD1">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679F02EA" w14:textId="77777777" w:rsidR="00400841" w:rsidRPr="0036685A" w:rsidRDefault="00C2063B" w:rsidP="00227DF6">
      <w:pPr>
        <w:pStyle w:val="Heading1"/>
        <w:spacing w:before="1320"/>
        <w:rPr>
          <w:color w:val="auto"/>
        </w:rPr>
      </w:pPr>
      <w:bookmarkStart w:id="2" w:name="_Toc524616543"/>
      <w:bookmarkEnd w:id="0"/>
      <w:r>
        <w:rPr>
          <w:color w:val="auto"/>
        </w:rPr>
        <w:t>AccessA</w:t>
      </w:r>
      <w:r w:rsidR="00CF0F31">
        <w:rPr>
          <w:color w:val="auto"/>
        </w:rPr>
        <w:t>bility Day Provider Guidelines</w:t>
      </w:r>
      <w:bookmarkEnd w:id="2"/>
    </w:p>
    <w:p w14:paraId="5A3FB94D" w14:textId="0E0A05F2" w:rsidR="00400841" w:rsidRPr="001A45C8" w:rsidRDefault="00400841" w:rsidP="001A45C8">
      <w:pPr>
        <w:jc w:val="center"/>
        <w:rPr>
          <w:b/>
          <w:sz w:val="40"/>
          <w:szCs w:val="40"/>
        </w:rPr>
      </w:pPr>
      <w:bookmarkStart w:id="3" w:name="_Toc266886220"/>
      <w:r w:rsidRPr="001A45C8">
        <w:rPr>
          <w:b/>
          <w:sz w:val="40"/>
          <w:szCs w:val="40"/>
        </w:rPr>
        <w:t xml:space="preserve">V </w:t>
      </w:r>
      <w:bookmarkEnd w:id="3"/>
      <w:r w:rsidR="00C2063B" w:rsidRPr="001A45C8">
        <w:rPr>
          <w:b/>
          <w:sz w:val="40"/>
          <w:szCs w:val="40"/>
        </w:rPr>
        <w:t>1.</w:t>
      </w:r>
      <w:r w:rsidR="004F5454">
        <w:rPr>
          <w:b/>
          <w:sz w:val="40"/>
          <w:szCs w:val="40"/>
        </w:rPr>
        <w:t>3</w:t>
      </w:r>
    </w:p>
    <w:p w14:paraId="59B4A732" w14:textId="77777777" w:rsidR="00A150B1"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4" w:name="_Toc266886221"/>
      <w:r w:rsidRPr="00EB34AA">
        <w:rPr>
          <w:b/>
        </w:rPr>
        <w:t>Disclaimer</w:t>
      </w:r>
      <w:r>
        <w:br/>
      </w:r>
      <w:r w:rsidRPr="00402359">
        <w:t xml:space="preserve">This document is not a stand-alone document and does not contain the entirety of </w:t>
      </w:r>
      <w:r w:rsidR="00DA17FF">
        <w:t>Disability Employment Services</w:t>
      </w:r>
      <w:r w:rsidRPr="00402359">
        <w:t xml:space="preserve"> Providers' obligations. It should be read in conjunction with the </w:t>
      </w:r>
      <w:r w:rsidR="00DA17FF">
        <w:t>Disability Employment Services Grant Agreement</w:t>
      </w:r>
      <w:r w:rsidRPr="00402359">
        <w:t xml:space="preserve"> and any relevant guidelines or reference material issued by </w:t>
      </w:r>
      <w:r w:rsidR="00DA17FF">
        <w:t>the Departme</w:t>
      </w:r>
      <w:r w:rsidR="00CA12C4">
        <w:t>n</w:t>
      </w:r>
      <w:r w:rsidR="00DA17FF">
        <w:t xml:space="preserve">t of Social Services </w:t>
      </w:r>
      <w:r w:rsidRPr="00402359">
        <w:t xml:space="preserve">under or in connection with </w:t>
      </w:r>
      <w:r w:rsidR="00DA17FF">
        <w:t>the Disability Employment Services Grant Agreement</w:t>
      </w:r>
      <w:r w:rsidRPr="00402359">
        <w:t>.</w:t>
      </w:r>
    </w:p>
    <w:p w14:paraId="027F1C68" w14:textId="77777777" w:rsidR="00400841" w:rsidRPr="0036685A" w:rsidRDefault="00A150B1" w:rsidP="00A150B1">
      <w:pPr>
        <w:pStyle w:val="Heading2"/>
        <w:rPr>
          <w:color w:val="auto"/>
        </w:rPr>
      </w:pPr>
      <w:r>
        <w:br w:type="page"/>
      </w:r>
      <w:bookmarkStart w:id="5" w:name="_Toc524616544"/>
      <w:r w:rsidR="00400841" w:rsidRPr="0036685A">
        <w:rPr>
          <w:color w:val="auto"/>
        </w:rPr>
        <w:lastRenderedPageBreak/>
        <w:t>Table of Contents</w:t>
      </w:r>
      <w:bookmarkEnd w:id="4"/>
      <w:bookmarkEnd w:id="5"/>
      <w:r w:rsidRPr="0036685A">
        <w:rPr>
          <w:color w:val="auto"/>
        </w:rPr>
        <w:t xml:space="preserve"> </w:t>
      </w:r>
    </w:p>
    <w:p w14:paraId="61718331" w14:textId="77777777" w:rsidR="00223B64" w:rsidRDefault="000E0424">
      <w:pPr>
        <w:pStyle w:val="TOC1"/>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"1-3" \h \z \u </w:instrText>
      </w:r>
      <w:r>
        <w:rPr>
          <w:rFonts w:cs="Times New Roman"/>
          <w:b w:val="0"/>
          <w:bCs w:val="0"/>
          <w:sz w:val="22"/>
          <w:szCs w:val="24"/>
        </w:rPr>
        <w:fldChar w:fldCharType="separate"/>
      </w:r>
      <w:hyperlink w:anchor="_Toc524616543" w:history="1">
        <w:r w:rsidR="00223B64" w:rsidRPr="006030EE">
          <w:rPr>
            <w:rStyle w:val="Hyperlink"/>
            <w:noProof/>
          </w:rPr>
          <w:t>AccessAbility Day Provider Guidelines</w:t>
        </w:r>
        <w:r w:rsidR="00223B64">
          <w:rPr>
            <w:noProof/>
            <w:webHidden/>
          </w:rPr>
          <w:tab/>
        </w:r>
        <w:r w:rsidR="00223B64">
          <w:rPr>
            <w:noProof/>
            <w:webHidden/>
          </w:rPr>
          <w:fldChar w:fldCharType="begin"/>
        </w:r>
        <w:r w:rsidR="00223B64">
          <w:rPr>
            <w:noProof/>
            <w:webHidden/>
          </w:rPr>
          <w:instrText xml:space="preserve"> PAGEREF _Toc524616543 \h </w:instrText>
        </w:r>
        <w:r w:rsidR="00223B64">
          <w:rPr>
            <w:noProof/>
            <w:webHidden/>
          </w:rPr>
        </w:r>
        <w:r w:rsidR="00223B64">
          <w:rPr>
            <w:noProof/>
            <w:webHidden/>
          </w:rPr>
          <w:fldChar w:fldCharType="separate"/>
        </w:r>
        <w:r w:rsidR="00223B64">
          <w:rPr>
            <w:noProof/>
            <w:webHidden/>
          </w:rPr>
          <w:t>1</w:t>
        </w:r>
        <w:r w:rsidR="00223B64">
          <w:rPr>
            <w:noProof/>
            <w:webHidden/>
          </w:rPr>
          <w:fldChar w:fldCharType="end"/>
        </w:r>
      </w:hyperlink>
    </w:p>
    <w:p w14:paraId="5AC2DE98" w14:textId="77777777" w:rsidR="00223B64" w:rsidRDefault="00F875DA">
      <w:pPr>
        <w:pStyle w:val="TOC2"/>
        <w:tabs>
          <w:tab w:val="right" w:pos="8296"/>
        </w:tabs>
        <w:rPr>
          <w:rFonts w:eastAsiaTheme="minorEastAsia" w:cstheme="minorBidi"/>
          <w:i w:val="0"/>
          <w:iCs w:val="0"/>
          <w:noProof/>
          <w:sz w:val="22"/>
          <w:szCs w:val="22"/>
        </w:rPr>
      </w:pPr>
      <w:hyperlink w:anchor="_Toc524616544" w:history="1">
        <w:r w:rsidR="00223B64" w:rsidRPr="006030EE">
          <w:rPr>
            <w:rStyle w:val="Hyperlink"/>
            <w:noProof/>
          </w:rPr>
          <w:t>Table of Contents</w:t>
        </w:r>
        <w:r w:rsidR="00223B64">
          <w:rPr>
            <w:noProof/>
            <w:webHidden/>
          </w:rPr>
          <w:tab/>
        </w:r>
        <w:r w:rsidR="00223B64">
          <w:rPr>
            <w:noProof/>
            <w:webHidden/>
          </w:rPr>
          <w:fldChar w:fldCharType="begin"/>
        </w:r>
        <w:r w:rsidR="00223B64">
          <w:rPr>
            <w:noProof/>
            <w:webHidden/>
          </w:rPr>
          <w:instrText xml:space="preserve"> PAGEREF _Toc524616544 \h </w:instrText>
        </w:r>
        <w:r w:rsidR="00223B64">
          <w:rPr>
            <w:noProof/>
            <w:webHidden/>
          </w:rPr>
        </w:r>
        <w:r w:rsidR="00223B64">
          <w:rPr>
            <w:noProof/>
            <w:webHidden/>
          </w:rPr>
          <w:fldChar w:fldCharType="separate"/>
        </w:r>
        <w:r w:rsidR="00223B64">
          <w:rPr>
            <w:noProof/>
            <w:webHidden/>
          </w:rPr>
          <w:t>2</w:t>
        </w:r>
        <w:r w:rsidR="00223B64">
          <w:rPr>
            <w:noProof/>
            <w:webHidden/>
          </w:rPr>
          <w:fldChar w:fldCharType="end"/>
        </w:r>
      </w:hyperlink>
    </w:p>
    <w:p w14:paraId="00E25E5D" w14:textId="77777777" w:rsidR="00223B64" w:rsidRDefault="00F875DA">
      <w:pPr>
        <w:pStyle w:val="TOC3"/>
        <w:rPr>
          <w:rFonts w:eastAsiaTheme="minorEastAsia" w:cstheme="minorBidi"/>
          <w:noProof/>
          <w:sz w:val="22"/>
          <w:szCs w:val="22"/>
        </w:rPr>
      </w:pPr>
      <w:hyperlink w:anchor="_Toc524616545" w:history="1">
        <w:r w:rsidR="00223B64" w:rsidRPr="006030EE">
          <w:rPr>
            <w:rStyle w:val="Hyperlink"/>
            <w:noProof/>
          </w:rPr>
          <w:t>Document Change History</w:t>
        </w:r>
        <w:r w:rsidR="00223B64">
          <w:rPr>
            <w:noProof/>
            <w:webHidden/>
          </w:rPr>
          <w:tab/>
        </w:r>
        <w:r w:rsidR="00223B64">
          <w:rPr>
            <w:noProof/>
            <w:webHidden/>
          </w:rPr>
          <w:fldChar w:fldCharType="begin"/>
        </w:r>
        <w:r w:rsidR="00223B64">
          <w:rPr>
            <w:noProof/>
            <w:webHidden/>
          </w:rPr>
          <w:instrText xml:space="preserve"> PAGEREF _Toc524616545 \h </w:instrText>
        </w:r>
        <w:r w:rsidR="00223B64">
          <w:rPr>
            <w:noProof/>
            <w:webHidden/>
          </w:rPr>
        </w:r>
        <w:r w:rsidR="00223B64">
          <w:rPr>
            <w:noProof/>
            <w:webHidden/>
          </w:rPr>
          <w:fldChar w:fldCharType="separate"/>
        </w:r>
        <w:r w:rsidR="00223B64">
          <w:rPr>
            <w:noProof/>
            <w:webHidden/>
          </w:rPr>
          <w:t>3</w:t>
        </w:r>
        <w:r w:rsidR="00223B64">
          <w:rPr>
            <w:noProof/>
            <w:webHidden/>
          </w:rPr>
          <w:fldChar w:fldCharType="end"/>
        </w:r>
      </w:hyperlink>
    </w:p>
    <w:p w14:paraId="074AD3E8" w14:textId="77777777" w:rsidR="00223B64" w:rsidRDefault="00F875DA">
      <w:pPr>
        <w:pStyle w:val="TOC3"/>
        <w:rPr>
          <w:rFonts w:eastAsiaTheme="minorEastAsia" w:cstheme="minorBidi"/>
          <w:noProof/>
          <w:sz w:val="22"/>
          <w:szCs w:val="22"/>
        </w:rPr>
      </w:pPr>
      <w:hyperlink w:anchor="_Toc524616546" w:history="1">
        <w:r w:rsidR="00223B64" w:rsidRPr="006030EE">
          <w:rPr>
            <w:rStyle w:val="Hyperlink"/>
            <w:noProof/>
          </w:rPr>
          <w:t>Background</w:t>
        </w:r>
        <w:r w:rsidR="00223B64">
          <w:rPr>
            <w:noProof/>
            <w:webHidden/>
          </w:rPr>
          <w:tab/>
        </w:r>
        <w:r w:rsidR="00223B64">
          <w:rPr>
            <w:noProof/>
            <w:webHidden/>
          </w:rPr>
          <w:fldChar w:fldCharType="begin"/>
        </w:r>
        <w:r w:rsidR="00223B64">
          <w:rPr>
            <w:noProof/>
            <w:webHidden/>
          </w:rPr>
          <w:instrText xml:space="preserve"> PAGEREF _Toc524616546 \h </w:instrText>
        </w:r>
        <w:r w:rsidR="00223B64">
          <w:rPr>
            <w:noProof/>
            <w:webHidden/>
          </w:rPr>
        </w:r>
        <w:r w:rsidR="00223B64">
          <w:rPr>
            <w:noProof/>
            <w:webHidden/>
          </w:rPr>
          <w:fldChar w:fldCharType="separate"/>
        </w:r>
        <w:r w:rsidR="00223B64">
          <w:rPr>
            <w:noProof/>
            <w:webHidden/>
          </w:rPr>
          <w:t>3</w:t>
        </w:r>
        <w:r w:rsidR="00223B64">
          <w:rPr>
            <w:noProof/>
            <w:webHidden/>
          </w:rPr>
          <w:fldChar w:fldCharType="end"/>
        </w:r>
      </w:hyperlink>
    </w:p>
    <w:p w14:paraId="5CB00EA6" w14:textId="77777777" w:rsidR="00223B64" w:rsidRDefault="00F875DA">
      <w:pPr>
        <w:pStyle w:val="TOC3"/>
        <w:rPr>
          <w:rFonts w:eastAsiaTheme="minorEastAsia" w:cstheme="minorBidi"/>
          <w:noProof/>
          <w:sz w:val="22"/>
          <w:szCs w:val="22"/>
        </w:rPr>
      </w:pPr>
      <w:hyperlink w:anchor="_Toc524616547" w:history="1">
        <w:r w:rsidR="00223B64" w:rsidRPr="006030EE">
          <w:rPr>
            <w:rStyle w:val="Hyperlink"/>
            <w:noProof/>
          </w:rPr>
          <w:t>What is AccessAbility Day?</w:t>
        </w:r>
        <w:r w:rsidR="00223B64">
          <w:rPr>
            <w:noProof/>
            <w:webHidden/>
          </w:rPr>
          <w:tab/>
        </w:r>
        <w:r w:rsidR="00223B64">
          <w:rPr>
            <w:noProof/>
            <w:webHidden/>
          </w:rPr>
          <w:fldChar w:fldCharType="begin"/>
        </w:r>
        <w:r w:rsidR="00223B64">
          <w:rPr>
            <w:noProof/>
            <w:webHidden/>
          </w:rPr>
          <w:instrText xml:space="preserve"> PAGEREF _Toc524616547 \h </w:instrText>
        </w:r>
        <w:r w:rsidR="00223B64">
          <w:rPr>
            <w:noProof/>
            <w:webHidden/>
          </w:rPr>
        </w:r>
        <w:r w:rsidR="00223B64">
          <w:rPr>
            <w:noProof/>
            <w:webHidden/>
          </w:rPr>
          <w:fldChar w:fldCharType="separate"/>
        </w:r>
        <w:r w:rsidR="00223B64">
          <w:rPr>
            <w:noProof/>
            <w:webHidden/>
          </w:rPr>
          <w:t>4</w:t>
        </w:r>
        <w:r w:rsidR="00223B64">
          <w:rPr>
            <w:noProof/>
            <w:webHidden/>
          </w:rPr>
          <w:fldChar w:fldCharType="end"/>
        </w:r>
      </w:hyperlink>
    </w:p>
    <w:p w14:paraId="692ED174" w14:textId="77777777" w:rsidR="00223B64" w:rsidRDefault="00F875DA">
      <w:pPr>
        <w:pStyle w:val="TOC3"/>
        <w:rPr>
          <w:rFonts w:eastAsiaTheme="minorEastAsia" w:cstheme="minorBidi"/>
          <w:noProof/>
          <w:sz w:val="22"/>
          <w:szCs w:val="22"/>
        </w:rPr>
      </w:pPr>
      <w:hyperlink w:anchor="_Toc524616548" w:history="1">
        <w:r w:rsidR="00223B64" w:rsidRPr="006030EE">
          <w:rPr>
            <w:rStyle w:val="Hyperlink"/>
            <w:noProof/>
          </w:rPr>
          <w:t>Caseload Management and Reporting Requirements</w:t>
        </w:r>
        <w:r w:rsidR="00223B64">
          <w:rPr>
            <w:noProof/>
            <w:webHidden/>
          </w:rPr>
          <w:tab/>
        </w:r>
        <w:r w:rsidR="00223B64">
          <w:rPr>
            <w:noProof/>
            <w:webHidden/>
          </w:rPr>
          <w:fldChar w:fldCharType="begin"/>
        </w:r>
        <w:r w:rsidR="00223B64">
          <w:rPr>
            <w:noProof/>
            <w:webHidden/>
          </w:rPr>
          <w:instrText xml:space="preserve"> PAGEREF _Toc524616548 \h </w:instrText>
        </w:r>
        <w:r w:rsidR="00223B64">
          <w:rPr>
            <w:noProof/>
            <w:webHidden/>
          </w:rPr>
        </w:r>
        <w:r w:rsidR="00223B64">
          <w:rPr>
            <w:noProof/>
            <w:webHidden/>
          </w:rPr>
          <w:fldChar w:fldCharType="separate"/>
        </w:r>
        <w:r w:rsidR="00223B64">
          <w:rPr>
            <w:noProof/>
            <w:webHidden/>
          </w:rPr>
          <w:t>7</w:t>
        </w:r>
        <w:r w:rsidR="00223B64">
          <w:rPr>
            <w:noProof/>
            <w:webHidden/>
          </w:rPr>
          <w:fldChar w:fldCharType="end"/>
        </w:r>
      </w:hyperlink>
    </w:p>
    <w:p w14:paraId="44263AE3" w14:textId="77777777" w:rsidR="00223B64" w:rsidRDefault="00F875DA">
      <w:pPr>
        <w:pStyle w:val="TOC3"/>
        <w:rPr>
          <w:rFonts w:eastAsiaTheme="minorEastAsia" w:cstheme="minorBidi"/>
          <w:noProof/>
          <w:sz w:val="22"/>
          <w:szCs w:val="22"/>
        </w:rPr>
      </w:pPr>
      <w:hyperlink w:anchor="_Toc524616549" w:history="1">
        <w:r w:rsidR="00223B64" w:rsidRPr="006030EE">
          <w:rPr>
            <w:rStyle w:val="Hyperlink"/>
            <w:noProof/>
          </w:rPr>
          <w:t>What to do if a participant cancels</w:t>
        </w:r>
        <w:r w:rsidR="00223B64">
          <w:rPr>
            <w:noProof/>
            <w:webHidden/>
          </w:rPr>
          <w:tab/>
        </w:r>
        <w:r w:rsidR="00223B64">
          <w:rPr>
            <w:noProof/>
            <w:webHidden/>
          </w:rPr>
          <w:fldChar w:fldCharType="begin"/>
        </w:r>
        <w:r w:rsidR="00223B64">
          <w:rPr>
            <w:noProof/>
            <w:webHidden/>
          </w:rPr>
          <w:instrText xml:space="preserve"> PAGEREF _Toc524616549 \h </w:instrText>
        </w:r>
        <w:r w:rsidR="00223B64">
          <w:rPr>
            <w:noProof/>
            <w:webHidden/>
          </w:rPr>
        </w:r>
        <w:r w:rsidR="00223B64">
          <w:rPr>
            <w:noProof/>
            <w:webHidden/>
          </w:rPr>
          <w:fldChar w:fldCharType="separate"/>
        </w:r>
        <w:r w:rsidR="00223B64">
          <w:rPr>
            <w:noProof/>
            <w:webHidden/>
          </w:rPr>
          <w:t>7</w:t>
        </w:r>
        <w:r w:rsidR="00223B64">
          <w:rPr>
            <w:noProof/>
            <w:webHidden/>
          </w:rPr>
          <w:fldChar w:fldCharType="end"/>
        </w:r>
      </w:hyperlink>
    </w:p>
    <w:p w14:paraId="09ADF7F3" w14:textId="77777777" w:rsidR="00223B64" w:rsidRDefault="00F875DA">
      <w:pPr>
        <w:pStyle w:val="TOC3"/>
        <w:rPr>
          <w:rFonts w:eastAsiaTheme="minorEastAsia" w:cstheme="minorBidi"/>
          <w:noProof/>
          <w:sz w:val="22"/>
          <w:szCs w:val="22"/>
        </w:rPr>
      </w:pPr>
      <w:hyperlink w:anchor="_Toc524616550" w:history="1">
        <w:r w:rsidR="00223B64" w:rsidRPr="006030EE">
          <w:rPr>
            <w:rStyle w:val="Hyperlink"/>
            <w:noProof/>
          </w:rPr>
          <w:t>What an AccessAbility Day experience could look like</w:t>
        </w:r>
        <w:r w:rsidR="00223B64">
          <w:rPr>
            <w:noProof/>
            <w:webHidden/>
          </w:rPr>
          <w:tab/>
        </w:r>
        <w:r w:rsidR="00223B64">
          <w:rPr>
            <w:noProof/>
            <w:webHidden/>
          </w:rPr>
          <w:fldChar w:fldCharType="begin"/>
        </w:r>
        <w:r w:rsidR="00223B64">
          <w:rPr>
            <w:noProof/>
            <w:webHidden/>
          </w:rPr>
          <w:instrText xml:space="preserve"> PAGEREF _Toc524616550 \h </w:instrText>
        </w:r>
        <w:r w:rsidR="00223B64">
          <w:rPr>
            <w:noProof/>
            <w:webHidden/>
          </w:rPr>
        </w:r>
        <w:r w:rsidR="00223B64">
          <w:rPr>
            <w:noProof/>
            <w:webHidden/>
          </w:rPr>
          <w:fldChar w:fldCharType="separate"/>
        </w:r>
        <w:r w:rsidR="00223B64">
          <w:rPr>
            <w:noProof/>
            <w:webHidden/>
          </w:rPr>
          <w:t>8</w:t>
        </w:r>
        <w:r w:rsidR="00223B64">
          <w:rPr>
            <w:noProof/>
            <w:webHidden/>
          </w:rPr>
          <w:fldChar w:fldCharType="end"/>
        </w:r>
      </w:hyperlink>
    </w:p>
    <w:p w14:paraId="720DE4D0" w14:textId="77777777" w:rsidR="00223B64" w:rsidRDefault="00F875DA">
      <w:pPr>
        <w:pStyle w:val="TOC3"/>
        <w:rPr>
          <w:rFonts w:eastAsiaTheme="minorEastAsia" w:cstheme="minorBidi"/>
          <w:noProof/>
          <w:sz w:val="22"/>
          <w:szCs w:val="22"/>
        </w:rPr>
      </w:pPr>
      <w:hyperlink w:anchor="_Toc524616551" w:history="1">
        <w:r w:rsidR="00223B64" w:rsidRPr="006030EE">
          <w:rPr>
            <w:rStyle w:val="Hyperlink"/>
            <w:noProof/>
          </w:rPr>
          <w:t>Preparation for participants</w:t>
        </w:r>
        <w:r w:rsidR="00223B64">
          <w:rPr>
            <w:noProof/>
            <w:webHidden/>
          </w:rPr>
          <w:tab/>
        </w:r>
        <w:r w:rsidR="00223B64">
          <w:rPr>
            <w:noProof/>
            <w:webHidden/>
          </w:rPr>
          <w:fldChar w:fldCharType="begin"/>
        </w:r>
        <w:r w:rsidR="00223B64">
          <w:rPr>
            <w:noProof/>
            <w:webHidden/>
          </w:rPr>
          <w:instrText xml:space="preserve"> PAGEREF _Toc524616551 \h </w:instrText>
        </w:r>
        <w:r w:rsidR="00223B64">
          <w:rPr>
            <w:noProof/>
            <w:webHidden/>
          </w:rPr>
        </w:r>
        <w:r w:rsidR="00223B64">
          <w:rPr>
            <w:noProof/>
            <w:webHidden/>
          </w:rPr>
          <w:fldChar w:fldCharType="separate"/>
        </w:r>
        <w:r w:rsidR="00223B64">
          <w:rPr>
            <w:noProof/>
            <w:webHidden/>
          </w:rPr>
          <w:t>8</w:t>
        </w:r>
        <w:r w:rsidR="00223B64">
          <w:rPr>
            <w:noProof/>
            <w:webHidden/>
          </w:rPr>
          <w:fldChar w:fldCharType="end"/>
        </w:r>
      </w:hyperlink>
    </w:p>
    <w:p w14:paraId="1A1000F7" w14:textId="77777777" w:rsidR="00223B64" w:rsidRDefault="00F875DA">
      <w:pPr>
        <w:pStyle w:val="TOC3"/>
        <w:rPr>
          <w:rFonts w:eastAsiaTheme="minorEastAsia" w:cstheme="minorBidi"/>
          <w:noProof/>
          <w:sz w:val="22"/>
          <w:szCs w:val="22"/>
        </w:rPr>
      </w:pPr>
      <w:hyperlink w:anchor="_Toc524616552" w:history="1">
        <w:r w:rsidR="00223B64" w:rsidRPr="006030EE">
          <w:rPr>
            <w:rStyle w:val="Hyperlink"/>
            <w:noProof/>
          </w:rPr>
          <w:t>Preparation for employers</w:t>
        </w:r>
        <w:r w:rsidR="00223B64">
          <w:rPr>
            <w:noProof/>
            <w:webHidden/>
          </w:rPr>
          <w:tab/>
        </w:r>
        <w:r w:rsidR="00223B64">
          <w:rPr>
            <w:noProof/>
            <w:webHidden/>
          </w:rPr>
          <w:fldChar w:fldCharType="begin"/>
        </w:r>
        <w:r w:rsidR="00223B64">
          <w:rPr>
            <w:noProof/>
            <w:webHidden/>
          </w:rPr>
          <w:instrText xml:space="preserve"> PAGEREF _Toc524616552 \h </w:instrText>
        </w:r>
        <w:r w:rsidR="00223B64">
          <w:rPr>
            <w:noProof/>
            <w:webHidden/>
          </w:rPr>
        </w:r>
        <w:r w:rsidR="00223B64">
          <w:rPr>
            <w:noProof/>
            <w:webHidden/>
          </w:rPr>
          <w:fldChar w:fldCharType="separate"/>
        </w:r>
        <w:r w:rsidR="00223B64">
          <w:rPr>
            <w:noProof/>
            <w:webHidden/>
          </w:rPr>
          <w:t>9</w:t>
        </w:r>
        <w:r w:rsidR="00223B64">
          <w:rPr>
            <w:noProof/>
            <w:webHidden/>
          </w:rPr>
          <w:fldChar w:fldCharType="end"/>
        </w:r>
      </w:hyperlink>
    </w:p>
    <w:p w14:paraId="7301D1E1" w14:textId="77777777" w:rsidR="00223B64" w:rsidRDefault="00F875DA">
      <w:pPr>
        <w:pStyle w:val="TOC3"/>
        <w:rPr>
          <w:rFonts w:eastAsiaTheme="minorEastAsia" w:cstheme="minorBidi"/>
          <w:noProof/>
          <w:sz w:val="22"/>
          <w:szCs w:val="22"/>
        </w:rPr>
      </w:pPr>
      <w:hyperlink w:anchor="_Toc524616553" w:history="1">
        <w:r w:rsidR="00223B64" w:rsidRPr="006030EE">
          <w:rPr>
            <w:rStyle w:val="Hyperlink"/>
            <w:noProof/>
          </w:rPr>
          <w:t>Employment Assistance Fund – Auslan assistance</w:t>
        </w:r>
        <w:r w:rsidR="00223B64">
          <w:rPr>
            <w:noProof/>
            <w:webHidden/>
          </w:rPr>
          <w:tab/>
        </w:r>
        <w:r w:rsidR="00223B64">
          <w:rPr>
            <w:noProof/>
            <w:webHidden/>
          </w:rPr>
          <w:fldChar w:fldCharType="begin"/>
        </w:r>
        <w:r w:rsidR="00223B64">
          <w:rPr>
            <w:noProof/>
            <w:webHidden/>
          </w:rPr>
          <w:instrText xml:space="preserve"> PAGEREF _Toc524616553 \h </w:instrText>
        </w:r>
        <w:r w:rsidR="00223B64">
          <w:rPr>
            <w:noProof/>
            <w:webHidden/>
          </w:rPr>
        </w:r>
        <w:r w:rsidR="00223B64">
          <w:rPr>
            <w:noProof/>
            <w:webHidden/>
          </w:rPr>
          <w:fldChar w:fldCharType="separate"/>
        </w:r>
        <w:r w:rsidR="00223B64">
          <w:rPr>
            <w:noProof/>
            <w:webHidden/>
          </w:rPr>
          <w:t>10</w:t>
        </w:r>
        <w:r w:rsidR="00223B64">
          <w:rPr>
            <w:noProof/>
            <w:webHidden/>
          </w:rPr>
          <w:fldChar w:fldCharType="end"/>
        </w:r>
      </w:hyperlink>
    </w:p>
    <w:p w14:paraId="27DD8FE3" w14:textId="77777777" w:rsidR="00223B64" w:rsidRDefault="00F875DA">
      <w:pPr>
        <w:pStyle w:val="TOC3"/>
        <w:rPr>
          <w:rFonts w:eastAsiaTheme="minorEastAsia" w:cstheme="minorBidi"/>
          <w:noProof/>
          <w:sz w:val="22"/>
          <w:szCs w:val="22"/>
        </w:rPr>
      </w:pPr>
      <w:hyperlink w:anchor="_Toc524616554" w:history="1">
        <w:r w:rsidR="00223B64" w:rsidRPr="006030EE">
          <w:rPr>
            <w:rStyle w:val="Hyperlink"/>
            <w:noProof/>
          </w:rPr>
          <w:t>Promotion</w:t>
        </w:r>
        <w:r w:rsidR="00223B64">
          <w:rPr>
            <w:noProof/>
            <w:webHidden/>
          </w:rPr>
          <w:tab/>
        </w:r>
        <w:r w:rsidR="00223B64">
          <w:rPr>
            <w:noProof/>
            <w:webHidden/>
          </w:rPr>
          <w:fldChar w:fldCharType="begin"/>
        </w:r>
        <w:r w:rsidR="00223B64">
          <w:rPr>
            <w:noProof/>
            <w:webHidden/>
          </w:rPr>
          <w:instrText xml:space="preserve"> PAGEREF _Toc524616554 \h </w:instrText>
        </w:r>
        <w:r w:rsidR="00223B64">
          <w:rPr>
            <w:noProof/>
            <w:webHidden/>
          </w:rPr>
        </w:r>
        <w:r w:rsidR="00223B64">
          <w:rPr>
            <w:noProof/>
            <w:webHidden/>
          </w:rPr>
          <w:fldChar w:fldCharType="separate"/>
        </w:r>
        <w:r w:rsidR="00223B64">
          <w:rPr>
            <w:noProof/>
            <w:webHidden/>
          </w:rPr>
          <w:t>10</w:t>
        </w:r>
        <w:r w:rsidR="00223B64">
          <w:rPr>
            <w:noProof/>
            <w:webHidden/>
          </w:rPr>
          <w:fldChar w:fldCharType="end"/>
        </w:r>
      </w:hyperlink>
    </w:p>
    <w:p w14:paraId="79E5C7B6" w14:textId="77777777" w:rsidR="00223B64" w:rsidRDefault="00F875DA">
      <w:pPr>
        <w:pStyle w:val="TOC3"/>
        <w:rPr>
          <w:rFonts w:eastAsiaTheme="minorEastAsia" w:cstheme="minorBidi"/>
          <w:noProof/>
          <w:sz w:val="22"/>
          <w:szCs w:val="22"/>
        </w:rPr>
      </w:pPr>
      <w:hyperlink w:anchor="_Toc524616555" w:history="1">
        <w:r w:rsidR="00223B64" w:rsidRPr="006030EE">
          <w:rPr>
            <w:rStyle w:val="Hyperlink"/>
            <w:noProof/>
          </w:rPr>
          <w:t>After AccessAbility Day</w:t>
        </w:r>
        <w:r w:rsidR="00223B64">
          <w:rPr>
            <w:noProof/>
            <w:webHidden/>
          </w:rPr>
          <w:tab/>
        </w:r>
        <w:r w:rsidR="00223B64">
          <w:rPr>
            <w:noProof/>
            <w:webHidden/>
          </w:rPr>
          <w:fldChar w:fldCharType="begin"/>
        </w:r>
        <w:r w:rsidR="00223B64">
          <w:rPr>
            <w:noProof/>
            <w:webHidden/>
          </w:rPr>
          <w:instrText xml:space="preserve"> PAGEREF _Toc524616555 \h </w:instrText>
        </w:r>
        <w:r w:rsidR="00223B64">
          <w:rPr>
            <w:noProof/>
            <w:webHidden/>
          </w:rPr>
        </w:r>
        <w:r w:rsidR="00223B64">
          <w:rPr>
            <w:noProof/>
            <w:webHidden/>
          </w:rPr>
          <w:fldChar w:fldCharType="separate"/>
        </w:r>
        <w:r w:rsidR="00223B64">
          <w:rPr>
            <w:noProof/>
            <w:webHidden/>
          </w:rPr>
          <w:t>10</w:t>
        </w:r>
        <w:r w:rsidR="00223B64">
          <w:rPr>
            <w:noProof/>
            <w:webHidden/>
          </w:rPr>
          <w:fldChar w:fldCharType="end"/>
        </w:r>
      </w:hyperlink>
    </w:p>
    <w:p w14:paraId="7F2B7F8F" w14:textId="77777777" w:rsidR="00223B64" w:rsidRDefault="00F875DA">
      <w:pPr>
        <w:pStyle w:val="TOC3"/>
        <w:rPr>
          <w:rFonts w:eastAsiaTheme="minorEastAsia" w:cstheme="minorBidi"/>
          <w:noProof/>
          <w:sz w:val="22"/>
          <w:szCs w:val="22"/>
        </w:rPr>
      </w:pPr>
      <w:hyperlink w:anchor="_Toc524616556" w:history="1">
        <w:r w:rsidR="00223B64" w:rsidRPr="006030EE">
          <w:rPr>
            <w:rStyle w:val="Hyperlink"/>
            <w:noProof/>
          </w:rPr>
          <w:t>Insurance and risk</w:t>
        </w:r>
        <w:r w:rsidR="00223B64">
          <w:rPr>
            <w:noProof/>
            <w:webHidden/>
          </w:rPr>
          <w:tab/>
        </w:r>
        <w:r w:rsidR="00223B64">
          <w:rPr>
            <w:noProof/>
            <w:webHidden/>
          </w:rPr>
          <w:fldChar w:fldCharType="begin"/>
        </w:r>
        <w:r w:rsidR="00223B64">
          <w:rPr>
            <w:noProof/>
            <w:webHidden/>
          </w:rPr>
          <w:instrText xml:space="preserve"> PAGEREF _Toc524616556 \h </w:instrText>
        </w:r>
        <w:r w:rsidR="00223B64">
          <w:rPr>
            <w:noProof/>
            <w:webHidden/>
          </w:rPr>
        </w:r>
        <w:r w:rsidR="00223B64">
          <w:rPr>
            <w:noProof/>
            <w:webHidden/>
          </w:rPr>
          <w:fldChar w:fldCharType="separate"/>
        </w:r>
        <w:r w:rsidR="00223B64">
          <w:rPr>
            <w:noProof/>
            <w:webHidden/>
          </w:rPr>
          <w:t>11</w:t>
        </w:r>
        <w:r w:rsidR="00223B64">
          <w:rPr>
            <w:noProof/>
            <w:webHidden/>
          </w:rPr>
          <w:fldChar w:fldCharType="end"/>
        </w:r>
      </w:hyperlink>
    </w:p>
    <w:p w14:paraId="42C98743" w14:textId="77777777" w:rsidR="00223B64" w:rsidRDefault="00F875DA">
      <w:pPr>
        <w:pStyle w:val="TOC3"/>
        <w:rPr>
          <w:rFonts w:eastAsiaTheme="minorEastAsia" w:cstheme="minorBidi"/>
          <w:noProof/>
          <w:sz w:val="22"/>
          <w:szCs w:val="22"/>
        </w:rPr>
      </w:pPr>
      <w:hyperlink w:anchor="_Toc524616557" w:history="1">
        <w:r w:rsidR="00223B64" w:rsidRPr="006030EE">
          <w:rPr>
            <w:rStyle w:val="Hyperlink"/>
            <w:noProof/>
          </w:rPr>
          <w:t>Privacy disclosure</w:t>
        </w:r>
        <w:r w:rsidR="00223B64">
          <w:rPr>
            <w:noProof/>
            <w:webHidden/>
          </w:rPr>
          <w:tab/>
        </w:r>
        <w:r w:rsidR="00223B64">
          <w:rPr>
            <w:noProof/>
            <w:webHidden/>
          </w:rPr>
          <w:fldChar w:fldCharType="begin"/>
        </w:r>
        <w:r w:rsidR="00223B64">
          <w:rPr>
            <w:noProof/>
            <w:webHidden/>
          </w:rPr>
          <w:instrText xml:space="preserve"> PAGEREF _Toc524616557 \h </w:instrText>
        </w:r>
        <w:r w:rsidR="00223B64">
          <w:rPr>
            <w:noProof/>
            <w:webHidden/>
          </w:rPr>
        </w:r>
        <w:r w:rsidR="00223B64">
          <w:rPr>
            <w:noProof/>
            <w:webHidden/>
          </w:rPr>
          <w:fldChar w:fldCharType="separate"/>
        </w:r>
        <w:r w:rsidR="00223B64">
          <w:rPr>
            <w:noProof/>
            <w:webHidden/>
          </w:rPr>
          <w:t>12</w:t>
        </w:r>
        <w:r w:rsidR="00223B64">
          <w:rPr>
            <w:noProof/>
            <w:webHidden/>
          </w:rPr>
          <w:fldChar w:fldCharType="end"/>
        </w:r>
      </w:hyperlink>
    </w:p>
    <w:p w14:paraId="4856E7FC" w14:textId="77777777" w:rsidR="00223B64" w:rsidRDefault="00F875DA">
      <w:pPr>
        <w:pStyle w:val="TOC3"/>
        <w:rPr>
          <w:rFonts w:eastAsiaTheme="minorEastAsia" w:cstheme="minorBidi"/>
          <w:noProof/>
          <w:sz w:val="22"/>
          <w:szCs w:val="22"/>
        </w:rPr>
      </w:pPr>
      <w:hyperlink w:anchor="_Toc524616558" w:history="1">
        <w:r w:rsidR="00223B64" w:rsidRPr="006030EE">
          <w:rPr>
            <w:rStyle w:val="Hyperlink"/>
            <w:noProof/>
            <w:lang w:eastAsia="en-US"/>
          </w:rPr>
          <w:t>Quick guide for DES providers</w:t>
        </w:r>
        <w:r w:rsidR="00223B64">
          <w:rPr>
            <w:noProof/>
            <w:webHidden/>
          </w:rPr>
          <w:tab/>
        </w:r>
        <w:r w:rsidR="00223B64">
          <w:rPr>
            <w:noProof/>
            <w:webHidden/>
          </w:rPr>
          <w:fldChar w:fldCharType="begin"/>
        </w:r>
        <w:r w:rsidR="00223B64">
          <w:rPr>
            <w:noProof/>
            <w:webHidden/>
          </w:rPr>
          <w:instrText xml:space="preserve"> PAGEREF _Toc524616558 \h </w:instrText>
        </w:r>
        <w:r w:rsidR="00223B64">
          <w:rPr>
            <w:noProof/>
            <w:webHidden/>
          </w:rPr>
        </w:r>
        <w:r w:rsidR="00223B64">
          <w:rPr>
            <w:noProof/>
            <w:webHidden/>
          </w:rPr>
          <w:fldChar w:fldCharType="separate"/>
        </w:r>
        <w:r w:rsidR="00223B64">
          <w:rPr>
            <w:noProof/>
            <w:webHidden/>
          </w:rPr>
          <w:t>13</w:t>
        </w:r>
        <w:r w:rsidR="00223B64">
          <w:rPr>
            <w:noProof/>
            <w:webHidden/>
          </w:rPr>
          <w:fldChar w:fldCharType="end"/>
        </w:r>
      </w:hyperlink>
    </w:p>
    <w:p w14:paraId="490E95CC" w14:textId="77777777" w:rsidR="00223B64" w:rsidRDefault="00F875DA">
      <w:pPr>
        <w:pStyle w:val="TOC3"/>
        <w:rPr>
          <w:rFonts w:eastAsiaTheme="minorEastAsia" w:cstheme="minorBidi"/>
          <w:noProof/>
          <w:sz w:val="22"/>
          <w:szCs w:val="22"/>
        </w:rPr>
      </w:pPr>
      <w:hyperlink w:anchor="_Toc524616559" w:history="1">
        <w:r w:rsidR="00223B64" w:rsidRPr="006030EE">
          <w:rPr>
            <w:rStyle w:val="Hyperlink"/>
            <w:noProof/>
          </w:rPr>
          <w:t>DES provider checklist</w:t>
        </w:r>
        <w:r w:rsidR="00223B64">
          <w:rPr>
            <w:noProof/>
            <w:webHidden/>
          </w:rPr>
          <w:tab/>
        </w:r>
        <w:r w:rsidR="00223B64">
          <w:rPr>
            <w:noProof/>
            <w:webHidden/>
          </w:rPr>
          <w:fldChar w:fldCharType="begin"/>
        </w:r>
        <w:r w:rsidR="00223B64">
          <w:rPr>
            <w:noProof/>
            <w:webHidden/>
          </w:rPr>
          <w:instrText xml:space="preserve"> PAGEREF _Toc524616559 \h </w:instrText>
        </w:r>
        <w:r w:rsidR="00223B64">
          <w:rPr>
            <w:noProof/>
            <w:webHidden/>
          </w:rPr>
        </w:r>
        <w:r w:rsidR="00223B64">
          <w:rPr>
            <w:noProof/>
            <w:webHidden/>
          </w:rPr>
          <w:fldChar w:fldCharType="separate"/>
        </w:r>
        <w:r w:rsidR="00223B64">
          <w:rPr>
            <w:noProof/>
            <w:webHidden/>
          </w:rPr>
          <w:t>14</w:t>
        </w:r>
        <w:r w:rsidR="00223B64">
          <w:rPr>
            <w:noProof/>
            <w:webHidden/>
          </w:rPr>
          <w:fldChar w:fldCharType="end"/>
        </w:r>
      </w:hyperlink>
    </w:p>
    <w:p w14:paraId="4F95987D" w14:textId="77777777" w:rsidR="00223B64" w:rsidRDefault="00F875DA">
      <w:pPr>
        <w:pStyle w:val="TOC3"/>
        <w:rPr>
          <w:rFonts w:eastAsiaTheme="minorEastAsia" w:cstheme="minorBidi"/>
          <w:noProof/>
          <w:sz w:val="22"/>
          <w:szCs w:val="22"/>
        </w:rPr>
      </w:pPr>
      <w:hyperlink w:anchor="_Toc524616560" w:history="1">
        <w:r w:rsidR="00223B64" w:rsidRPr="006030EE">
          <w:rPr>
            <w:rStyle w:val="Hyperlink"/>
            <w:noProof/>
          </w:rPr>
          <w:t>AccessAbility Day support and services</w:t>
        </w:r>
        <w:r w:rsidR="00223B64">
          <w:rPr>
            <w:noProof/>
            <w:webHidden/>
          </w:rPr>
          <w:tab/>
        </w:r>
        <w:r w:rsidR="00223B64">
          <w:rPr>
            <w:noProof/>
            <w:webHidden/>
          </w:rPr>
          <w:fldChar w:fldCharType="begin"/>
        </w:r>
        <w:r w:rsidR="00223B64">
          <w:rPr>
            <w:noProof/>
            <w:webHidden/>
          </w:rPr>
          <w:instrText xml:space="preserve"> PAGEREF _Toc524616560 \h </w:instrText>
        </w:r>
        <w:r w:rsidR="00223B64">
          <w:rPr>
            <w:noProof/>
            <w:webHidden/>
          </w:rPr>
        </w:r>
        <w:r w:rsidR="00223B64">
          <w:rPr>
            <w:noProof/>
            <w:webHidden/>
          </w:rPr>
          <w:fldChar w:fldCharType="separate"/>
        </w:r>
        <w:r w:rsidR="00223B64">
          <w:rPr>
            <w:noProof/>
            <w:webHidden/>
          </w:rPr>
          <w:t>14</w:t>
        </w:r>
        <w:r w:rsidR="00223B64">
          <w:rPr>
            <w:noProof/>
            <w:webHidden/>
          </w:rPr>
          <w:fldChar w:fldCharType="end"/>
        </w:r>
      </w:hyperlink>
    </w:p>
    <w:p w14:paraId="3907C409" w14:textId="77777777" w:rsidR="00223B64" w:rsidRDefault="00F875DA">
      <w:pPr>
        <w:pStyle w:val="TOC3"/>
        <w:rPr>
          <w:rFonts w:eastAsiaTheme="minorEastAsia" w:cstheme="minorBidi"/>
          <w:noProof/>
          <w:sz w:val="22"/>
          <w:szCs w:val="22"/>
        </w:rPr>
      </w:pPr>
      <w:hyperlink w:anchor="_Toc524616561" w:history="1">
        <w:r w:rsidR="00223B64" w:rsidRPr="006030EE">
          <w:rPr>
            <w:rStyle w:val="Hyperlink"/>
            <w:noProof/>
          </w:rPr>
          <w:t>JobAccess</w:t>
        </w:r>
        <w:r w:rsidR="00223B64">
          <w:rPr>
            <w:noProof/>
            <w:webHidden/>
          </w:rPr>
          <w:tab/>
        </w:r>
        <w:r w:rsidR="00223B64">
          <w:rPr>
            <w:noProof/>
            <w:webHidden/>
          </w:rPr>
          <w:fldChar w:fldCharType="begin"/>
        </w:r>
        <w:r w:rsidR="00223B64">
          <w:rPr>
            <w:noProof/>
            <w:webHidden/>
          </w:rPr>
          <w:instrText xml:space="preserve"> PAGEREF _Toc524616561 \h </w:instrText>
        </w:r>
        <w:r w:rsidR="00223B64">
          <w:rPr>
            <w:noProof/>
            <w:webHidden/>
          </w:rPr>
        </w:r>
        <w:r w:rsidR="00223B64">
          <w:rPr>
            <w:noProof/>
            <w:webHidden/>
          </w:rPr>
          <w:fldChar w:fldCharType="separate"/>
        </w:r>
        <w:r w:rsidR="00223B64">
          <w:rPr>
            <w:noProof/>
            <w:webHidden/>
          </w:rPr>
          <w:t>15</w:t>
        </w:r>
        <w:r w:rsidR="00223B64">
          <w:rPr>
            <w:noProof/>
            <w:webHidden/>
          </w:rPr>
          <w:fldChar w:fldCharType="end"/>
        </w:r>
      </w:hyperlink>
    </w:p>
    <w:p w14:paraId="79F851D3" w14:textId="77777777" w:rsidR="00223B64" w:rsidRDefault="00F875DA">
      <w:pPr>
        <w:pStyle w:val="TOC3"/>
        <w:rPr>
          <w:rFonts w:eastAsiaTheme="minorEastAsia" w:cstheme="minorBidi"/>
          <w:noProof/>
          <w:sz w:val="22"/>
          <w:szCs w:val="22"/>
        </w:rPr>
      </w:pPr>
      <w:hyperlink w:anchor="_Toc524616562" w:history="1">
        <w:r w:rsidR="00223B64" w:rsidRPr="006030EE">
          <w:rPr>
            <w:rStyle w:val="Hyperlink"/>
            <w:noProof/>
          </w:rPr>
          <w:t>Alternative programs</w:t>
        </w:r>
        <w:r w:rsidR="00223B64">
          <w:rPr>
            <w:noProof/>
            <w:webHidden/>
          </w:rPr>
          <w:tab/>
        </w:r>
        <w:r w:rsidR="00223B64">
          <w:rPr>
            <w:noProof/>
            <w:webHidden/>
          </w:rPr>
          <w:fldChar w:fldCharType="begin"/>
        </w:r>
        <w:r w:rsidR="00223B64">
          <w:rPr>
            <w:noProof/>
            <w:webHidden/>
          </w:rPr>
          <w:instrText xml:space="preserve"> PAGEREF _Toc524616562 \h </w:instrText>
        </w:r>
        <w:r w:rsidR="00223B64">
          <w:rPr>
            <w:noProof/>
            <w:webHidden/>
          </w:rPr>
        </w:r>
        <w:r w:rsidR="00223B64">
          <w:rPr>
            <w:noProof/>
            <w:webHidden/>
          </w:rPr>
          <w:fldChar w:fldCharType="separate"/>
        </w:r>
        <w:r w:rsidR="00223B64">
          <w:rPr>
            <w:noProof/>
            <w:webHidden/>
          </w:rPr>
          <w:t>15</w:t>
        </w:r>
        <w:r w:rsidR="00223B64">
          <w:rPr>
            <w:noProof/>
            <w:webHidden/>
          </w:rPr>
          <w:fldChar w:fldCharType="end"/>
        </w:r>
      </w:hyperlink>
    </w:p>
    <w:p w14:paraId="46681392" w14:textId="77777777" w:rsidR="00223B64" w:rsidRDefault="00F875DA">
      <w:pPr>
        <w:pStyle w:val="TOC3"/>
        <w:rPr>
          <w:rFonts w:eastAsiaTheme="minorEastAsia" w:cstheme="minorBidi"/>
          <w:noProof/>
          <w:sz w:val="22"/>
          <w:szCs w:val="22"/>
        </w:rPr>
      </w:pPr>
      <w:hyperlink w:anchor="_Toc524616563" w:history="1">
        <w:r w:rsidR="00223B64" w:rsidRPr="006030EE">
          <w:rPr>
            <w:rStyle w:val="Hyperlink"/>
            <w:noProof/>
          </w:rPr>
          <w:t>AccessAbility Day Risk Assessment Form</w:t>
        </w:r>
        <w:r w:rsidR="00223B64">
          <w:rPr>
            <w:noProof/>
            <w:webHidden/>
          </w:rPr>
          <w:tab/>
        </w:r>
        <w:r w:rsidR="00223B64">
          <w:rPr>
            <w:noProof/>
            <w:webHidden/>
          </w:rPr>
          <w:fldChar w:fldCharType="begin"/>
        </w:r>
        <w:r w:rsidR="00223B64">
          <w:rPr>
            <w:noProof/>
            <w:webHidden/>
          </w:rPr>
          <w:instrText xml:space="preserve"> PAGEREF _Toc524616563 \h </w:instrText>
        </w:r>
        <w:r w:rsidR="00223B64">
          <w:rPr>
            <w:noProof/>
            <w:webHidden/>
          </w:rPr>
        </w:r>
        <w:r w:rsidR="00223B64">
          <w:rPr>
            <w:noProof/>
            <w:webHidden/>
          </w:rPr>
          <w:fldChar w:fldCharType="separate"/>
        </w:r>
        <w:r w:rsidR="00223B64">
          <w:rPr>
            <w:noProof/>
            <w:webHidden/>
          </w:rPr>
          <w:t>17</w:t>
        </w:r>
        <w:r w:rsidR="00223B64">
          <w:rPr>
            <w:noProof/>
            <w:webHidden/>
          </w:rPr>
          <w:fldChar w:fldCharType="end"/>
        </w:r>
      </w:hyperlink>
    </w:p>
    <w:p w14:paraId="21C3B510" w14:textId="77777777" w:rsidR="00223B64" w:rsidRDefault="00F875DA">
      <w:pPr>
        <w:pStyle w:val="TOC3"/>
        <w:rPr>
          <w:rFonts w:eastAsiaTheme="minorEastAsia" w:cstheme="minorBidi"/>
          <w:noProof/>
          <w:sz w:val="22"/>
          <w:szCs w:val="22"/>
        </w:rPr>
      </w:pPr>
      <w:hyperlink w:anchor="_Toc524616564" w:history="1">
        <w:r w:rsidR="00223B64" w:rsidRPr="006030EE">
          <w:rPr>
            <w:rStyle w:val="Hyperlink"/>
            <w:noProof/>
          </w:rPr>
          <w:t>Risk Matrix</w:t>
        </w:r>
        <w:r w:rsidR="00223B64">
          <w:rPr>
            <w:noProof/>
            <w:webHidden/>
          </w:rPr>
          <w:tab/>
        </w:r>
        <w:r w:rsidR="00223B64">
          <w:rPr>
            <w:noProof/>
            <w:webHidden/>
          </w:rPr>
          <w:fldChar w:fldCharType="begin"/>
        </w:r>
        <w:r w:rsidR="00223B64">
          <w:rPr>
            <w:noProof/>
            <w:webHidden/>
          </w:rPr>
          <w:instrText xml:space="preserve"> PAGEREF _Toc524616564 \h </w:instrText>
        </w:r>
        <w:r w:rsidR="00223B64">
          <w:rPr>
            <w:noProof/>
            <w:webHidden/>
          </w:rPr>
        </w:r>
        <w:r w:rsidR="00223B64">
          <w:rPr>
            <w:noProof/>
            <w:webHidden/>
          </w:rPr>
          <w:fldChar w:fldCharType="separate"/>
        </w:r>
        <w:r w:rsidR="00223B64">
          <w:rPr>
            <w:noProof/>
            <w:webHidden/>
          </w:rPr>
          <w:t>19</w:t>
        </w:r>
        <w:r w:rsidR="00223B64">
          <w:rPr>
            <w:noProof/>
            <w:webHidden/>
          </w:rPr>
          <w:fldChar w:fldCharType="end"/>
        </w:r>
      </w:hyperlink>
    </w:p>
    <w:p w14:paraId="6C05E54D" w14:textId="77777777" w:rsidR="00400841" w:rsidRPr="00A27C28" w:rsidRDefault="000E0424">
      <w:pPr>
        <w:pStyle w:val="TOC1"/>
      </w:pPr>
      <w:r>
        <w:rPr>
          <w:rFonts w:cs="Times New Roman"/>
          <w:sz w:val="22"/>
          <w:szCs w:val="24"/>
        </w:rPr>
        <w:fldChar w:fldCharType="end"/>
      </w:r>
      <w:r w:rsidR="00400841" w:rsidRPr="00CE2473">
        <w:br w:type="page"/>
      </w:r>
      <w:r w:rsidR="00C2063B">
        <w:lastRenderedPageBreak/>
        <w:t xml:space="preserve">AccessAbility Day </w:t>
      </w:r>
      <w:r w:rsidR="00CF0F31">
        <w:t>Provider Guidelines</w:t>
      </w:r>
      <w:r w:rsidR="00C2063B">
        <w:tab/>
      </w:r>
    </w:p>
    <w:p w14:paraId="393AA78B" w14:textId="77777777" w:rsidR="00A150B1" w:rsidRPr="0036685A" w:rsidRDefault="00400841" w:rsidP="00716BE4">
      <w:pPr>
        <w:pStyle w:val="Heading3"/>
      </w:pPr>
      <w:bookmarkStart w:id="6" w:name="_Toc524616545"/>
      <w:bookmarkStart w:id="7" w:name="_Toc266886168"/>
      <w:bookmarkStart w:id="8" w:name="_Toc266886222"/>
      <w:bookmarkStart w:id="9" w:name="_Toc266886367"/>
      <w:r w:rsidRPr="0036685A">
        <w:t>Document Change History</w:t>
      </w:r>
      <w:bookmarkEnd w:id="6"/>
      <w:r w:rsidRPr="0036685A">
        <w:t xml:space="preserve"> </w:t>
      </w:r>
      <w:bookmarkStart w:id="10" w:name="_Toc258589510"/>
      <w:bookmarkStart w:id="11" w:name="_Toc259007303"/>
      <w:bookmarkStart w:id="12" w:name="_Toc266886169"/>
      <w:bookmarkStart w:id="13" w:name="_Toc266886223"/>
      <w:bookmarkStart w:id="14" w:name="_Toc266886368"/>
      <w:bookmarkEnd w:id="7"/>
      <w:bookmarkEnd w:id="8"/>
      <w:bookmarkEnd w:id="9"/>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589"/>
        <w:gridCol w:w="1114"/>
        <w:gridCol w:w="4608"/>
      </w:tblGrid>
      <w:tr w:rsidR="00DA17FF" w:rsidRPr="00AC1D5D" w14:paraId="0DBEA78D" w14:textId="77777777" w:rsidTr="008610F6">
        <w:trPr>
          <w:tblHeader/>
          <w:jc w:val="center"/>
        </w:trPr>
        <w:tc>
          <w:tcPr>
            <w:tcW w:w="1110" w:type="dxa"/>
            <w:shd w:val="clear" w:color="auto" w:fill="auto"/>
            <w:vAlign w:val="center"/>
          </w:tcPr>
          <w:p w14:paraId="1A3A60FB" w14:textId="77777777" w:rsidR="00DA17FF" w:rsidRPr="008610F6" w:rsidRDefault="00DA17FF" w:rsidP="0000043B">
            <w:pPr>
              <w:pStyle w:val="TableHeadingCentred"/>
              <w:rPr>
                <w:color w:val="auto"/>
              </w:rPr>
            </w:pPr>
            <w:r w:rsidRPr="008610F6">
              <w:rPr>
                <w:color w:val="auto"/>
              </w:rPr>
              <w:t>Version</w:t>
            </w:r>
          </w:p>
        </w:tc>
        <w:tc>
          <w:tcPr>
            <w:tcW w:w="1593" w:type="dxa"/>
            <w:shd w:val="clear" w:color="auto" w:fill="auto"/>
            <w:vAlign w:val="center"/>
          </w:tcPr>
          <w:p w14:paraId="4CA73CB9" w14:textId="77777777" w:rsidR="00DA17FF" w:rsidRPr="008610F6" w:rsidRDefault="00DA17FF" w:rsidP="0000043B">
            <w:pPr>
              <w:pStyle w:val="TableHeadingCentred"/>
              <w:rPr>
                <w:color w:val="auto"/>
              </w:rPr>
            </w:pPr>
            <w:r w:rsidRPr="008610F6">
              <w:rPr>
                <w:color w:val="auto"/>
              </w:rPr>
              <w:t>Effective Date</w:t>
            </w:r>
          </w:p>
        </w:tc>
        <w:tc>
          <w:tcPr>
            <w:tcW w:w="1080" w:type="dxa"/>
            <w:shd w:val="clear" w:color="auto" w:fill="auto"/>
            <w:vAlign w:val="center"/>
          </w:tcPr>
          <w:p w14:paraId="46D1603F" w14:textId="77777777" w:rsidR="00DA17FF" w:rsidRPr="008610F6" w:rsidRDefault="00DA17FF" w:rsidP="0000043B">
            <w:pPr>
              <w:pStyle w:val="TableHeadingCentred"/>
              <w:rPr>
                <w:color w:val="auto"/>
              </w:rPr>
            </w:pPr>
            <w:r w:rsidRPr="008610F6">
              <w:rPr>
                <w:color w:val="auto"/>
              </w:rPr>
              <w:t>End Date</w:t>
            </w:r>
          </w:p>
        </w:tc>
        <w:tc>
          <w:tcPr>
            <w:tcW w:w="4636" w:type="dxa"/>
            <w:shd w:val="clear" w:color="auto" w:fill="auto"/>
            <w:vAlign w:val="center"/>
          </w:tcPr>
          <w:p w14:paraId="69661EF6" w14:textId="77777777" w:rsidR="00DA17FF" w:rsidRPr="008610F6" w:rsidRDefault="00DA17FF" w:rsidP="00E20827">
            <w:pPr>
              <w:pStyle w:val="TableHeadingCentred"/>
              <w:rPr>
                <w:color w:val="auto"/>
              </w:rPr>
            </w:pPr>
            <w:r w:rsidRPr="008610F6">
              <w:rPr>
                <w:color w:val="auto"/>
              </w:rPr>
              <w:t xml:space="preserve">Change &amp; Location </w:t>
            </w:r>
          </w:p>
        </w:tc>
      </w:tr>
      <w:tr w:rsidR="00DA17FF" w:rsidRPr="004E324C" w14:paraId="686C7C28" w14:textId="77777777" w:rsidTr="00DA17FF">
        <w:trPr>
          <w:jc w:val="center"/>
        </w:trPr>
        <w:tc>
          <w:tcPr>
            <w:tcW w:w="1110" w:type="dxa"/>
          </w:tcPr>
          <w:p w14:paraId="662E7A14" w14:textId="77777777" w:rsidR="00DA17FF" w:rsidRPr="009F5950" w:rsidRDefault="00DA17FF" w:rsidP="0000043B">
            <w:pPr>
              <w:pStyle w:val="TableTextCentred"/>
            </w:pPr>
            <w:r>
              <w:t>1.0</w:t>
            </w:r>
          </w:p>
        </w:tc>
        <w:tc>
          <w:tcPr>
            <w:tcW w:w="1593" w:type="dxa"/>
          </w:tcPr>
          <w:p w14:paraId="200E3167" w14:textId="77777777" w:rsidR="00DA17FF" w:rsidRPr="009F5950" w:rsidRDefault="00DA17FF" w:rsidP="0000043B">
            <w:pPr>
              <w:pStyle w:val="TableTextCentred"/>
            </w:pPr>
            <w:r>
              <w:t>1 July 2018</w:t>
            </w:r>
          </w:p>
        </w:tc>
        <w:tc>
          <w:tcPr>
            <w:tcW w:w="1080" w:type="dxa"/>
            <w:shd w:val="clear" w:color="auto" w:fill="auto"/>
          </w:tcPr>
          <w:p w14:paraId="5B89F19E" w14:textId="77777777" w:rsidR="00DA17FF" w:rsidRPr="009F5950" w:rsidRDefault="00515A6A" w:rsidP="00DA17FF">
            <w:pPr>
              <w:pStyle w:val="TableTextCentred"/>
            </w:pPr>
            <w:r>
              <w:t>13</w:t>
            </w:r>
            <w:r w:rsidR="00E20827">
              <w:t xml:space="preserve"> September 2018</w:t>
            </w:r>
          </w:p>
        </w:tc>
        <w:tc>
          <w:tcPr>
            <w:tcW w:w="4636" w:type="dxa"/>
          </w:tcPr>
          <w:p w14:paraId="560712E3" w14:textId="77777777" w:rsidR="00DA17FF" w:rsidRPr="009F5950" w:rsidRDefault="00DA17FF" w:rsidP="00C2063B">
            <w:pPr>
              <w:pStyle w:val="TableText"/>
            </w:pPr>
            <w:r w:rsidRPr="004E324C">
              <w:rPr>
                <w:b/>
              </w:rPr>
              <w:t>Category:</w:t>
            </w:r>
            <w:r w:rsidRPr="004D76C7">
              <w:t xml:space="preserve"> </w:t>
            </w:r>
            <w:r w:rsidR="00C2063B">
              <w:t>Original version</w:t>
            </w:r>
          </w:p>
        </w:tc>
      </w:tr>
      <w:tr w:rsidR="00E20827" w:rsidRPr="004E324C" w14:paraId="0199C6E4" w14:textId="77777777" w:rsidTr="00DA17FF">
        <w:trPr>
          <w:jc w:val="center"/>
        </w:trPr>
        <w:tc>
          <w:tcPr>
            <w:tcW w:w="1110" w:type="dxa"/>
          </w:tcPr>
          <w:p w14:paraId="24E407BD" w14:textId="77777777" w:rsidR="00E20827" w:rsidRDefault="00251643" w:rsidP="0000043B">
            <w:pPr>
              <w:pStyle w:val="TableTextCentred"/>
            </w:pPr>
            <w:r>
              <w:t>1.</w:t>
            </w:r>
            <w:r w:rsidR="00E20827">
              <w:t>2</w:t>
            </w:r>
          </w:p>
        </w:tc>
        <w:tc>
          <w:tcPr>
            <w:tcW w:w="1593" w:type="dxa"/>
          </w:tcPr>
          <w:p w14:paraId="5B09A524" w14:textId="77777777" w:rsidR="00E20827" w:rsidRDefault="00515A6A" w:rsidP="0000043B">
            <w:pPr>
              <w:pStyle w:val="TableTextCentred"/>
            </w:pPr>
            <w:r>
              <w:t>13</w:t>
            </w:r>
            <w:r w:rsidR="00E20827">
              <w:t xml:space="preserve"> September 2018</w:t>
            </w:r>
          </w:p>
        </w:tc>
        <w:tc>
          <w:tcPr>
            <w:tcW w:w="1080" w:type="dxa"/>
            <w:shd w:val="clear" w:color="auto" w:fill="auto"/>
          </w:tcPr>
          <w:p w14:paraId="1C113ADC" w14:textId="60208FA4" w:rsidR="00E20827" w:rsidRPr="009F5950" w:rsidRDefault="004F5454" w:rsidP="00DA17FF">
            <w:pPr>
              <w:pStyle w:val="TableTextCentred"/>
            </w:pPr>
            <w:r>
              <w:t>5 September 2018</w:t>
            </w:r>
          </w:p>
        </w:tc>
        <w:tc>
          <w:tcPr>
            <w:tcW w:w="4636" w:type="dxa"/>
          </w:tcPr>
          <w:p w14:paraId="5C0BC929" w14:textId="77777777" w:rsidR="00E20827" w:rsidRDefault="00CA12C4" w:rsidP="00C2063B">
            <w:pPr>
              <w:pStyle w:val="TableText"/>
            </w:pPr>
            <w:r>
              <w:rPr>
                <w:b/>
              </w:rPr>
              <w:t xml:space="preserve">Category: </w:t>
            </w:r>
            <w:r w:rsidR="00D01488">
              <w:rPr>
                <w:b/>
              </w:rPr>
              <w:br/>
            </w:r>
            <w:r w:rsidR="00223B64">
              <w:t xml:space="preserve">Removed </w:t>
            </w:r>
            <w:r w:rsidR="00FD0486">
              <w:t>message from Assistant Minister for Social Services and Disability Services</w:t>
            </w:r>
          </w:p>
          <w:p w14:paraId="4B310F6C" w14:textId="77777777" w:rsidR="00251643" w:rsidRDefault="00251643" w:rsidP="00C2063B">
            <w:pPr>
              <w:pStyle w:val="TableText"/>
            </w:pPr>
            <w:r>
              <w:t>What is AccessAbility Day – added that it will be held across Australia</w:t>
            </w:r>
          </w:p>
          <w:p w14:paraId="342980CC" w14:textId="77777777" w:rsidR="00251643" w:rsidRDefault="00251643" w:rsidP="00C2063B">
            <w:pPr>
              <w:pStyle w:val="TableText"/>
            </w:pPr>
            <w:r>
              <w:t>The role of JobAccess – removed reference to webinars</w:t>
            </w:r>
          </w:p>
          <w:p w14:paraId="373ECE6D" w14:textId="77777777" w:rsidR="00251643" w:rsidRDefault="00251643" w:rsidP="00C2063B">
            <w:pPr>
              <w:pStyle w:val="TableText"/>
            </w:pPr>
            <w:r>
              <w:t>Role of DES providers- added ESSWeb registration,</w:t>
            </w:r>
            <w:r w:rsidR="00515A6A">
              <w:t xml:space="preserve"> removed reference t</w:t>
            </w:r>
            <w:r>
              <w:t>o</w:t>
            </w:r>
            <w:r w:rsidR="00515A6A">
              <w:t xml:space="preserve"> </w:t>
            </w:r>
            <w:r>
              <w:t>webi</w:t>
            </w:r>
            <w:r w:rsidR="00515A6A">
              <w:t>n</w:t>
            </w:r>
            <w:r>
              <w:t>ars</w:t>
            </w:r>
          </w:p>
          <w:p w14:paraId="7F820DE6" w14:textId="77777777" w:rsidR="00251643" w:rsidRDefault="00251643" w:rsidP="00C2063B">
            <w:pPr>
              <w:pStyle w:val="TableText"/>
            </w:pPr>
            <w:r>
              <w:t>Organising placements – added ESSWeb registration, update</w:t>
            </w:r>
            <w:r w:rsidR="00515A6A">
              <w:t>d process for</w:t>
            </w:r>
            <w:r>
              <w:t xml:space="preserve"> new employers</w:t>
            </w:r>
          </w:p>
          <w:p w14:paraId="3B5C3CBF" w14:textId="77777777" w:rsidR="00251643" w:rsidRDefault="00251643" w:rsidP="00C2063B">
            <w:pPr>
              <w:pStyle w:val="TableText"/>
            </w:pPr>
            <w:r>
              <w:t>Caseload management and reporting requirements – added ESSWeb registration instructions</w:t>
            </w:r>
          </w:p>
          <w:p w14:paraId="5C933F88" w14:textId="77777777" w:rsidR="006B4AFD" w:rsidRDefault="006B4AFD" w:rsidP="00C2063B">
            <w:pPr>
              <w:pStyle w:val="TableText"/>
            </w:pPr>
            <w:r>
              <w:t>What to do if a participant cancels – updated ESSWeb instructions</w:t>
            </w:r>
          </w:p>
          <w:p w14:paraId="17F91D93" w14:textId="77777777" w:rsidR="006B4AFD" w:rsidRDefault="006B4AFD" w:rsidP="00C2063B">
            <w:pPr>
              <w:pStyle w:val="TableText"/>
            </w:pPr>
            <w:r>
              <w:t>Information workshops – removed section</w:t>
            </w:r>
          </w:p>
          <w:p w14:paraId="4AF049B9" w14:textId="77777777" w:rsidR="006B4AFD" w:rsidRDefault="006B4AFD" w:rsidP="00C2063B">
            <w:pPr>
              <w:pStyle w:val="TableText"/>
            </w:pPr>
            <w:r>
              <w:t>DES provider checklist – added ESSWeb reference</w:t>
            </w:r>
          </w:p>
          <w:p w14:paraId="7F491652" w14:textId="77777777" w:rsidR="006B4AFD" w:rsidRDefault="006B4AFD" w:rsidP="00C2063B">
            <w:pPr>
              <w:pStyle w:val="TableText"/>
            </w:pPr>
            <w:r>
              <w:t>Voluntary recruitment process review – removed section</w:t>
            </w:r>
          </w:p>
          <w:p w14:paraId="31EA3902" w14:textId="77777777" w:rsidR="00251643" w:rsidRPr="004E324C" w:rsidRDefault="00251643" w:rsidP="00C2063B">
            <w:pPr>
              <w:pStyle w:val="TableText"/>
              <w:rPr>
                <w:b/>
              </w:rPr>
            </w:pPr>
          </w:p>
        </w:tc>
      </w:tr>
      <w:tr w:rsidR="004F5454" w:rsidRPr="004E324C" w14:paraId="665BD332" w14:textId="77777777" w:rsidTr="00DA17FF">
        <w:trPr>
          <w:jc w:val="center"/>
        </w:trPr>
        <w:tc>
          <w:tcPr>
            <w:tcW w:w="1110" w:type="dxa"/>
          </w:tcPr>
          <w:p w14:paraId="639A0191" w14:textId="2BF69B85" w:rsidR="004F5454" w:rsidRDefault="004F5454" w:rsidP="0000043B">
            <w:pPr>
              <w:pStyle w:val="TableTextCentred"/>
            </w:pPr>
            <w:r>
              <w:t>1.3</w:t>
            </w:r>
          </w:p>
        </w:tc>
        <w:tc>
          <w:tcPr>
            <w:tcW w:w="1593" w:type="dxa"/>
          </w:tcPr>
          <w:p w14:paraId="263AF770" w14:textId="7A0EB85F" w:rsidR="004F5454" w:rsidRDefault="004F5454" w:rsidP="0000043B">
            <w:pPr>
              <w:pStyle w:val="TableTextCentred"/>
            </w:pPr>
            <w:r>
              <w:t>5 September 2018</w:t>
            </w:r>
          </w:p>
        </w:tc>
        <w:tc>
          <w:tcPr>
            <w:tcW w:w="1080" w:type="dxa"/>
            <w:shd w:val="clear" w:color="auto" w:fill="auto"/>
          </w:tcPr>
          <w:p w14:paraId="3F333C69" w14:textId="77777777" w:rsidR="004F5454" w:rsidRPr="009F5950" w:rsidRDefault="004F5454" w:rsidP="00DA17FF">
            <w:pPr>
              <w:pStyle w:val="TableTextCentred"/>
            </w:pPr>
          </w:p>
        </w:tc>
        <w:tc>
          <w:tcPr>
            <w:tcW w:w="4636" w:type="dxa"/>
          </w:tcPr>
          <w:p w14:paraId="2674DD06" w14:textId="77777777" w:rsidR="004F5454" w:rsidRDefault="004F5454" w:rsidP="00C2063B">
            <w:pPr>
              <w:pStyle w:val="TableText"/>
              <w:rPr>
                <w:b/>
              </w:rPr>
            </w:pPr>
            <w:r>
              <w:rPr>
                <w:b/>
              </w:rPr>
              <w:t>Category:</w:t>
            </w:r>
          </w:p>
          <w:p w14:paraId="2BA14EE1" w14:textId="7295F63A" w:rsidR="004F5454" w:rsidRDefault="004F5454" w:rsidP="00C2063B">
            <w:pPr>
              <w:pStyle w:val="TableText"/>
              <w:rPr>
                <w:b/>
              </w:rPr>
            </w:pPr>
            <w:r>
              <w:t>DES provider checklist – removed reference to webinars</w:t>
            </w:r>
          </w:p>
        </w:tc>
      </w:tr>
    </w:tbl>
    <w:p w14:paraId="036FBF0C" w14:textId="77777777" w:rsidR="00400841" w:rsidRPr="00716BE4" w:rsidRDefault="00400841" w:rsidP="00716BE4">
      <w:pPr>
        <w:pStyle w:val="Heading3"/>
      </w:pPr>
      <w:bookmarkStart w:id="15" w:name="_Toc524616546"/>
      <w:r w:rsidRPr="00716BE4">
        <w:t>Background</w:t>
      </w:r>
      <w:bookmarkEnd w:id="10"/>
      <w:bookmarkEnd w:id="15"/>
      <w:r w:rsidRPr="00716BE4">
        <w:t xml:space="preserve"> </w:t>
      </w:r>
      <w:bookmarkEnd w:id="11"/>
      <w:bookmarkEnd w:id="12"/>
      <w:bookmarkEnd w:id="13"/>
      <w:bookmarkEnd w:id="14"/>
    </w:p>
    <w:p w14:paraId="7100D4E6" w14:textId="77777777" w:rsidR="00170CD2" w:rsidRDefault="00170CD2" w:rsidP="00170CD2">
      <w:bookmarkStart w:id="16" w:name="_Toc259007304"/>
      <w:bookmarkStart w:id="17" w:name="_Toc266886170"/>
      <w:bookmarkStart w:id="18" w:name="_Toc266886224"/>
      <w:bookmarkStart w:id="19" w:name="_Toc266886369"/>
      <w:r>
        <w:t>AccessAbility Day is a great opportunity for jobseekers with disability and employers to connect for a day and experience what each has to offer. It is available for one day in the week Monday 26 to Friday 30 November 2018.</w:t>
      </w:r>
    </w:p>
    <w:p w14:paraId="47F460F7" w14:textId="77777777" w:rsidR="00170CD2" w:rsidRDefault="00170CD2" w:rsidP="00170CD2"/>
    <w:p w14:paraId="0538C36B" w14:textId="77777777" w:rsidR="00170CD2" w:rsidRDefault="00170CD2" w:rsidP="00170CD2">
      <w:r>
        <w:t>There is no obligation for employers. It is an opportunity to see the potential jobseekers with disability can bring to the workplace and learn about available business support.</w:t>
      </w:r>
    </w:p>
    <w:p w14:paraId="6DAD919F" w14:textId="77777777" w:rsidR="00170CD2" w:rsidRDefault="00170CD2" w:rsidP="00170CD2">
      <w:r>
        <w:t xml:space="preserve"> </w:t>
      </w:r>
    </w:p>
    <w:p w14:paraId="36B871FB" w14:textId="77777777" w:rsidR="00170CD2" w:rsidRDefault="00170CD2" w:rsidP="00170CD2">
      <w:r>
        <w:t>It is a great opportunity for jobseekers with disability to experience a workplace or role that aligns with their career interests.</w:t>
      </w:r>
    </w:p>
    <w:p w14:paraId="5CF96F57" w14:textId="77777777" w:rsidR="00170CD2" w:rsidRDefault="00170CD2" w:rsidP="00170CD2"/>
    <w:p w14:paraId="68314F8B" w14:textId="77777777" w:rsidR="00170CD2" w:rsidRDefault="00170CD2" w:rsidP="00170CD2">
      <w:r>
        <w:t xml:space="preserve">Disability Employment Services (DES) will support AccessAbility Day in their areas. </w:t>
      </w:r>
    </w:p>
    <w:p w14:paraId="46C579C3" w14:textId="77777777" w:rsidR="00C2063B" w:rsidRDefault="00170CD2" w:rsidP="00170CD2">
      <w:r>
        <w:t>Jobseekers with disability must be registered with a DES provider to participate in AccessAbility Day.</w:t>
      </w:r>
    </w:p>
    <w:p w14:paraId="20DD07C2" w14:textId="77777777" w:rsidR="00B1550F" w:rsidRDefault="00B1550F">
      <w:pPr>
        <w:rPr>
          <w:b/>
          <w:szCs w:val="22"/>
        </w:rPr>
      </w:pPr>
      <w:bookmarkStart w:id="20" w:name="_Toc266886172"/>
      <w:bookmarkStart w:id="21" w:name="_Toc266886226"/>
      <w:bookmarkEnd w:id="16"/>
      <w:bookmarkEnd w:id="17"/>
      <w:bookmarkEnd w:id="18"/>
      <w:bookmarkEnd w:id="19"/>
      <w:r>
        <w:br w:type="page"/>
      </w:r>
    </w:p>
    <w:p w14:paraId="5A7F4FC1" w14:textId="77777777" w:rsidR="00FD7C95" w:rsidRPr="0036685A" w:rsidRDefault="00716BE4" w:rsidP="00716BE4">
      <w:pPr>
        <w:pStyle w:val="Heading3"/>
      </w:pPr>
      <w:bookmarkStart w:id="22" w:name="_Toc524616547"/>
      <w:bookmarkEnd w:id="20"/>
      <w:bookmarkEnd w:id="21"/>
      <w:r>
        <w:lastRenderedPageBreak/>
        <w:t>What is AccessAbility Day?</w:t>
      </w:r>
      <w:bookmarkEnd w:id="22"/>
    </w:p>
    <w:p w14:paraId="61237461" w14:textId="77777777" w:rsidR="00170CD2" w:rsidRDefault="00170CD2" w:rsidP="00170CD2">
      <w:bookmarkStart w:id="23" w:name="_Toc516736559"/>
      <w:r>
        <w:t xml:space="preserve">AccessAbility Day is an Australian </w:t>
      </w:r>
      <w:r w:rsidRPr="00843749">
        <w:t xml:space="preserve">Government initiative that </w:t>
      </w:r>
      <w:r>
        <w:t>encourages</w:t>
      </w:r>
      <w:r w:rsidRPr="00843749">
        <w:t xml:space="preserve"> employers to connect with </w:t>
      </w:r>
      <w:r>
        <w:t>jobseekers</w:t>
      </w:r>
      <w:r w:rsidRPr="00843749">
        <w:t xml:space="preserve"> with disability (participants) to see their potential in the</w:t>
      </w:r>
      <w:r>
        <w:t xml:space="preserve"> workplace. To participate jobseekers  must be </w:t>
      </w:r>
      <w:r w:rsidRPr="00843749">
        <w:t>current and active Disability Employment Services (DES) participants looking for work</w:t>
      </w:r>
      <w:r>
        <w:t xml:space="preserve">. Employers can </w:t>
      </w:r>
      <w:r w:rsidRPr="00843749">
        <w:t xml:space="preserve">explore </w:t>
      </w:r>
      <w:r>
        <w:t>having a jobseeker</w:t>
      </w:r>
      <w:r w:rsidRPr="00843749">
        <w:t xml:space="preserve"> with disability</w:t>
      </w:r>
      <w:r>
        <w:t xml:space="preserve"> in their workplace</w:t>
      </w:r>
      <w:r w:rsidRPr="00843749">
        <w:t>, with no obligation to employ them, while also providing an opportunity for participants to gain an insight into a particular job or type of work.</w:t>
      </w:r>
    </w:p>
    <w:p w14:paraId="2834A234" w14:textId="77777777" w:rsidR="00170CD2" w:rsidRPr="007E67F8" w:rsidRDefault="00170CD2" w:rsidP="00170CD2">
      <w:r>
        <w:rPr>
          <w:sz w:val="20"/>
          <w:szCs w:val="20"/>
        </w:rPr>
        <w:t xml:space="preserve"> </w:t>
      </w:r>
    </w:p>
    <w:p w14:paraId="063F6D20" w14:textId="77777777" w:rsidR="00170CD2" w:rsidRDefault="00170CD2" w:rsidP="00170CD2">
      <w:r w:rsidRPr="007E67F8">
        <w:t xml:space="preserve">The initiative will </w:t>
      </w:r>
      <w:r>
        <w:t xml:space="preserve">run from Monday 26 to Friday 30 November 2018, in the week leading up to </w:t>
      </w:r>
      <w:r w:rsidRPr="007E67F8">
        <w:t xml:space="preserve">the </w:t>
      </w:r>
      <w:r>
        <w:t xml:space="preserve">annual </w:t>
      </w:r>
      <w:r w:rsidRPr="007E67F8">
        <w:t>United Nation’s International Day of People with Disability</w:t>
      </w:r>
      <w:r>
        <w:t xml:space="preserve"> </w:t>
      </w:r>
      <w:r w:rsidRPr="007E67F8">
        <w:t xml:space="preserve">on 3 December. </w:t>
      </w:r>
      <w:r>
        <w:t>Participants and e</w:t>
      </w:r>
      <w:r w:rsidRPr="007E67F8">
        <w:t xml:space="preserve">mployers can </w:t>
      </w:r>
      <w:r>
        <w:t>be involved</w:t>
      </w:r>
      <w:r w:rsidRPr="007E67F8">
        <w:t xml:space="preserve"> in AccessAbility Day</w:t>
      </w:r>
      <w:r>
        <w:t xml:space="preserve"> on</w:t>
      </w:r>
      <w:r w:rsidRPr="007E67F8">
        <w:t xml:space="preserve"> any one day of th</w:t>
      </w:r>
      <w:r>
        <w:t>is</w:t>
      </w:r>
      <w:r w:rsidRPr="007E67F8">
        <w:t xml:space="preserve"> week at a time mutually suitable to both parties.</w:t>
      </w:r>
    </w:p>
    <w:p w14:paraId="4A4A1BFF" w14:textId="77777777" w:rsidR="00170CD2" w:rsidRDefault="00170CD2" w:rsidP="00170CD2"/>
    <w:p w14:paraId="1820E865" w14:textId="77777777" w:rsidR="00170CD2" w:rsidRDefault="00170CD2" w:rsidP="00170CD2">
      <w:r>
        <w:t>In 2017, AccessAbility Day was trialled in eight sites around Australia - 244 employers registered to host approximately 440 participants for AccessAbility Day.</w:t>
      </w:r>
      <w:r w:rsidR="00097643">
        <w:t xml:space="preserve"> This year </w:t>
      </w:r>
      <w:r w:rsidR="00097643" w:rsidRPr="00097643">
        <w:t>AccessAbility Day will be held for jobseekers with disability, employers and DES providers across Australia.</w:t>
      </w:r>
    </w:p>
    <w:p w14:paraId="41802D9A" w14:textId="77777777" w:rsidR="00170CD2" w:rsidRDefault="00170CD2" w:rsidP="00170CD2"/>
    <w:p w14:paraId="6D624EA6" w14:textId="77777777" w:rsidR="00170CD2" w:rsidRDefault="00170CD2" w:rsidP="00170CD2">
      <w:r>
        <w:t xml:space="preserve">An AccessAbility Day placement is for one day. An employer can host as many placements for as many job types as they are able to provide within their organisation. However, each placement is for a maximum of one day only. Participants </w:t>
      </w:r>
      <w:r w:rsidRPr="00E75EE5">
        <w:t>may participate in more than one workplace over the week if places are available.</w:t>
      </w:r>
      <w:r>
        <w:t xml:space="preserve"> Placements are organised through DES providers and are shaped by the expressed interests of a preferred workplace, industry or role of participants.</w:t>
      </w:r>
    </w:p>
    <w:p w14:paraId="6F70311C" w14:textId="77777777" w:rsidR="00170CD2" w:rsidRDefault="00170CD2" w:rsidP="00170CD2">
      <w:r>
        <w:t xml:space="preserve"> </w:t>
      </w:r>
    </w:p>
    <w:p w14:paraId="3E18F449" w14:textId="77777777" w:rsidR="00170CD2" w:rsidRDefault="00170CD2" w:rsidP="00170CD2">
      <w:r>
        <w:t>AccessAbility Day is not a job interview, work trial or work experience. It is a job shadowing opportunity for the participant to try a day in a workplace and see what that workplace has to offer and for the employer to learn more about working with jobseekers with disability.</w:t>
      </w:r>
    </w:p>
    <w:p w14:paraId="5E606AC3" w14:textId="77777777" w:rsidR="00170CD2" w:rsidRDefault="00170CD2" w:rsidP="00170CD2"/>
    <w:p w14:paraId="33EC974D" w14:textId="77777777" w:rsidR="00170CD2" w:rsidRPr="00843749" w:rsidRDefault="00170CD2" w:rsidP="00170CD2">
      <w:r>
        <w:t xml:space="preserve">This Guide supports the delivery of AccessAbility Day through clause 96 of the </w:t>
      </w:r>
      <w:r w:rsidRPr="005679AE">
        <w:rPr>
          <w:i/>
        </w:rPr>
        <w:t>Disability Employment Services Grant Agreement effective 1 July 2018</w:t>
      </w:r>
      <w:r>
        <w:rPr>
          <w:i/>
        </w:rPr>
        <w:t xml:space="preserve"> </w:t>
      </w:r>
      <w:r w:rsidRPr="00173351">
        <w:t>(the Grant)</w:t>
      </w:r>
      <w:r>
        <w:rPr>
          <w:i/>
        </w:rPr>
        <w:t xml:space="preserve">. </w:t>
      </w:r>
      <w:r w:rsidRPr="00173351">
        <w:t>AccessAbility Day is facilitated by employers, DES providers and JobAccess</w:t>
      </w:r>
      <w:r>
        <w:rPr>
          <w:i/>
        </w:rPr>
        <w:t xml:space="preserve"> </w:t>
      </w:r>
      <w:r w:rsidRPr="00843749">
        <w:t>for current and active DES participants looking for work.</w:t>
      </w:r>
    </w:p>
    <w:bookmarkEnd w:id="23"/>
    <w:p w14:paraId="1675445C" w14:textId="77777777" w:rsidR="00716BE4" w:rsidRPr="00716BE4" w:rsidRDefault="00170CD2" w:rsidP="00716BE4">
      <w:pPr>
        <w:pStyle w:val="Heading4"/>
        <w:spacing w:after="240"/>
      </w:pPr>
      <w:r>
        <w:t>The role of JobAccess</w:t>
      </w:r>
    </w:p>
    <w:p w14:paraId="2BCC39AA" w14:textId="77777777" w:rsidR="00170CD2" w:rsidRDefault="00170CD2" w:rsidP="00170CD2">
      <w:r>
        <w:t xml:space="preserve">JobAccess is </w:t>
      </w:r>
      <w:r w:rsidRPr="00E719DA">
        <w:t>funded by the Australian Government Department of Social Services</w:t>
      </w:r>
      <w:r>
        <w:t xml:space="preserve"> to bring together a wide range of employment tools, resources and services for people with disability, employers and employment service providers.</w:t>
      </w:r>
    </w:p>
    <w:p w14:paraId="54CD0A18" w14:textId="77777777" w:rsidR="00170CD2" w:rsidRDefault="00170CD2" w:rsidP="00170CD2">
      <w:r>
        <w:rPr>
          <w:rFonts w:ascii="Times New Roman" w:hAnsi="Times New Roman"/>
        </w:rPr>
        <w:t xml:space="preserve"> </w:t>
      </w:r>
    </w:p>
    <w:p w14:paraId="590924AB" w14:textId="77777777" w:rsidR="00170CD2" w:rsidRDefault="00170CD2" w:rsidP="00170CD2">
      <w:r>
        <w:t>JobAccess will play a supporting role in the delivery of AccessAbility Day 2018 including</w:t>
      </w:r>
      <w:r w:rsidR="002604E1">
        <w:t>:</w:t>
      </w:r>
    </w:p>
    <w:p w14:paraId="4ED087D1" w14:textId="77777777" w:rsidR="00170CD2" w:rsidRPr="008E62FD" w:rsidRDefault="00170CD2" w:rsidP="002E0A2C">
      <w:pPr>
        <w:pStyle w:val="Bullet1"/>
        <w:numPr>
          <w:ilvl w:val="0"/>
          <w:numId w:val="11"/>
        </w:numPr>
        <w:rPr>
          <w:color w:val="auto"/>
          <w:sz w:val="22"/>
        </w:rPr>
      </w:pPr>
      <w:r w:rsidRPr="008E62FD">
        <w:rPr>
          <w:color w:val="auto"/>
          <w:sz w:val="22"/>
        </w:rPr>
        <w:t xml:space="preserve">managing a dedicated mail box </w:t>
      </w:r>
      <w:hyperlink r:id="rId14" w:history="1">
        <w:r w:rsidR="00B1550F" w:rsidRPr="00D7505E">
          <w:rPr>
            <w:rStyle w:val="Hyperlink"/>
            <w:rFonts w:cstheme="minorHAnsi"/>
            <w:sz w:val="22"/>
          </w:rPr>
          <w:t>accessabilityday@workfocus.com</w:t>
        </w:r>
      </w:hyperlink>
    </w:p>
    <w:p w14:paraId="30F732A5" w14:textId="77777777" w:rsidR="00170CD2" w:rsidRPr="008E62FD" w:rsidRDefault="00170CD2" w:rsidP="002E0A2C">
      <w:pPr>
        <w:pStyle w:val="Bullet1"/>
        <w:numPr>
          <w:ilvl w:val="0"/>
          <w:numId w:val="11"/>
        </w:numPr>
        <w:rPr>
          <w:rStyle w:val="Strong"/>
          <w:b w:val="0"/>
          <w:bCs w:val="0"/>
          <w:color w:val="auto"/>
          <w:sz w:val="22"/>
        </w:rPr>
      </w:pPr>
      <w:r w:rsidRPr="008E62FD">
        <w:rPr>
          <w:color w:val="auto"/>
          <w:sz w:val="22"/>
        </w:rPr>
        <w:t xml:space="preserve">managing a dedicated AccessAbility Day hotline on </w:t>
      </w:r>
      <w:r w:rsidRPr="008E62FD">
        <w:rPr>
          <w:b/>
          <w:color w:val="auto"/>
          <w:sz w:val="22"/>
        </w:rPr>
        <w:t>1800 464 800</w:t>
      </w:r>
      <w:r w:rsidRPr="008E62FD">
        <w:rPr>
          <w:color w:val="auto"/>
          <w:sz w:val="22"/>
        </w:rPr>
        <w:t xml:space="preserve">. TTY users please phone </w:t>
      </w:r>
      <w:r w:rsidRPr="008E62FD">
        <w:rPr>
          <w:rStyle w:val="Strong"/>
          <w:color w:val="auto"/>
          <w:sz w:val="22"/>
        </w:rPr>
        <w:t>1800 555 677</w:t>
      </w:r>
      <w:r w:rsidRPr="008E62FD">
        <w:rPr>
          <w:color w:val="auto"/>
          <w:sz w:val="22"/>
        </w:rPr>
        <w:t xml:space="preserve"> and ask for </w:t>
      </w:r>
      <w:r w:rsidRPr="008E62FD">
        <w:rPr>
          <w:rStyle w:val="Strong"/>
          <w:color w:val="auto"/>
          <w:sz w:val="22"/>
        </w:rPr>
        <w:t>1800 464 800</w:t>
      </w:r>
    </w:p>
    <w:p w14:paraId="165EB5FE" w14:textId="77777777" w:rsidR="00170CD2" w:rsidRPr="008E62FD" w:rsidRDefault="00170CD2" w:rsidP="002E0A2C">
      <w:pPr>
        <w:pStyle w:val="Bullet1"/>
        <w:numPr>
          <w:ilvl w:val="0"/>
          <w:numId w:val="11"/>
        </w:numPr>
        <w:rPr>
          <w:color w:val="auto"/>
          <w:sz w:val="22"/>
        </w:rPr>
      </w:pPr>
      <w:r w:rsidRPr="008E62FD">
        <w:rPr>
          <w:color w:val="auto"/>
          <w:sz w:val="22"/>
        </w:rPr>
        <w:t>undertaking employer engagement activities to promote AccessAbility Day to small, medium and large employers around the country and encourage them to participate</w:t>
      </w:r>
    </w:p>
    <w:p w14:paraId="4A7880C7" w14:textId="77777777" w:rsidR="00170CD2" w:rsidRPr="008E62FD" w:rsidRDefault="00170CD2" w:rsidP="002E0A2C">
      <w:pPr>
        <w:pStyle w:val="Bullet1"/>
        <w:numPr>
          <w:ilvl w:val="0"/>
          <w:numId w:val="11"/>
        </w:numPr>
        <w:rPr>
          <w:color w:val="auto"/>
          <w:sz w:val="22"/>
        </w:rPr>
      </w:pPr>
      <w:r w:rsidRPr="008E62FD">
        <w:rPr>
          <w:color w:val="auto"/>
          <w:sz w:val="22"/>
        </w:rPr>
        <w:t>matching new employers who are interested in participating in AccessAbility Day to DES providers with interested participants</w:t>
      </w:r>
    </w:p>
    <w:p w14:paraId="0BF13248" w14:textId="77777777" w:rsidR="00170CD2" w:rsidRPr="008E62FD" w:rsidRDefault="00170CD2" w:rsidP="002E0A2C">
      <w:pPr>
        <w:pStyle w:val="Bullet1"/>
        <w:numPr>
          <w:ilvl w:val="0"/>
          <w:numId w:val="11"/>
        </w:numPr>
        <w:rPr>
          <w:color w:val="auto"/>
          <w:sz w:val="22"/>
        </w:rPr>
      </w:pPr>
      <w:r w:rsidRPr="008E62FD">
        <w:rPr>
          <w:color w:val="auto"/>
          <w:sz w:val="22"/>
        </w:rPr>
        <w:lastRenderedPageBreak/>
        <w:t xml:space="preserve">facilitating the registration process for new employers on the </w:t>
      </w:r>
      <w:hyperlink r:id="rId15" w:history="1">
        <w:r w:rsidRPr="008E62FD">
          <w:rPr>
            <w:rStyle w:val="Hyperlink"/>
            <w:color w:val="auto"/>
            <w:sz w:val="22"/>
          </w:rPr>
          <w:t>JobAccess website</w:t>
        </w:r>
      </w:hyperlink>
      <w:r w:rsidRPr="008E62FD">
        <w:rPr>
          <w:color w:val="auto"/>
          <w:sz w:val="22"/>
        </w:rPr>
        <w:t xml:space="preserve"> at www.jobaccess.gov.au/accessabilityday, and </w:t>
      </w:r>
    </w:p>
    <w:p w14:paraId="3F229B6B" w14:textId="77777777" w:rsidR="00170CD2" w:rsidRPr="008E62FD" w:rsidRDefault="00170CD2" w:rsidP="002E0A2C">
      <w:pPr>
        <w:pStyle w:val="Bullet1"/>
        <w:numPr>
          <w:ilvl w:val="0"/>
          <w:numId w:val="11"/>
        </w:numPr>
        <w:rPr>
          <w:color w:val="auto"/>
          <w:sz w:val="22"/>
        </w:rPr>
      </w:pPr>
      <w:r w:rsidRPr="008E62FD">
        <w:rPr>
          <w:color w:val="auto"/>
          <w:sz w:val="22"/>
        </w:rPr>
        <w:t xml:space="preserve">hosting AccessAbility Day promotional material, guides, toolkits and supporting information on the JobAccess website </w:t>
      </w:r>
    </w:p>
    <w:p w14:paraId="2DB1389B" w14:textId="77777777" w:rsidR="00716BE4" w:rsidRPr="008E62FD" w:rsidRDefault="00716BE4" w:rsidP="00716BE4">
      <w:pPr>
        <w:rPr>
          <w:szCs w:val="22"/>
        </w:rPr>
      </w:pPr>
    </w:p>
    <w:p w14:paraId="02D558E5" w14:textId="77777777" w:rsidR="00716BE4" w:rsidRPr="00716BE4" w:rsidRDefault="00170CD2" w:rsidP="00716BE4">
      <w:pPr>
        <w:pStyle w:val="Heading4"/>
        <w:spacing w:after="240"/>
      </w:pPr>
      <w:r>
        <w:t>Role of DES providers</w:t>
      </w:r>
    </w:p>
    <w:p w14:paraId="4DC000B6" w14:textId="77777777" w:rsidR="00170CD2" w:rsidRPr="00170CD2" w:rsidRDefault="00170CD2" w:rsidP="00170CD2">
      <w:r w:rsidRPr="00170CD2">
        <w:t>As a DES provider you have an important and exciting role in AccessAbility Day, engaging with employers and facilitating placements of participants who would like to experience a day in a workplace.</w:t>
      </w:r>
    </w:p>
    <w:p w14:paraId="59E836CF" w14:textId="77777777" w:rsidR="00170CD2" w:rsidRPr="008E62FD" w:rsidRDefault="00170CD2" w:rsidP="00170CD2">
      <w:pPr>
        <w:pStyle w:val="NormalIndented"/>
        <w:ind w:left="0"/>
        <w:rPr>
          <w:b/>
          <w:bCs/>
          <w:color w:val="auto"/>
          <w:sz w:val="22"/>
        </w:rPr>
      </w:pPr>
      <w:r w:rsidRPr="008E62FD">
        <w:rPr>
          <w:color w:val="auto"/>
          <w:sz w:val="22"/>
        </w:rPr>
        <w:t>AccessAbility Day will provide you with the opportunity to:</w:t>
      </w:r>
    </w:p>
    <w:p w14:paraId="3C8B9B3C" w14:textId="77777777" w:rsidR="00170CD2" w:rsidRPr="008E62FD" w:rsidRDefault="00170CD2" w:rsidP="002E0A2C">
      <w:pPr>
        <w:pStyle w:val="Bullet1"/>
        <w:numPr>
          <w:ilvl w:val="0"/>
          <w:numId w:val="9"/>
        </w:numPr>
        <w:rPr>
          <w:color w:val="auto"/>
          <w:sz w:val="22"/>
        </w:rPr>
      </w:pPr>
      <w:r w:rsidRPr="008E62FD">
        <w:rPr>
          <w:color w:val="auto"/>
          <w:sz w:val="22"/>
        </w:rPr>
        <w:t>expand your professional network</w:t>
      </w:r>
      <w:r w:rsidRPr="008E62FD" w:rsidDel="00772CF4">
        <w:rPr>
          <w:color w:val="auto"/>
          <w:sz w:val="22"/>
        </w:rPr>
        <w:t xml:space="preserve"> </w:t>
      </w:r>
      <w:r w:rsidRPr="008E62FD">
        <w:rPr>
          <w:color w:val="auto"/>
          <w:sz w:val="22"/>
        </w:rPr>
        <w:t>by meeting and developing relationships with new employers</w:t>
      </w:r>
    </w:p>
    <w:p w14:paraId="52CF262F" w14:textId="77777777" w:rsidR="00170CD2" w:rsidRPr="008E62FD" w:rsidRDefault="00170CD2" w:rsidP="002E0A2C">
      <w:pPr>
        <w:pStyle w:val="Bullet1"/>
        <w:numPr>
          <w:ilvl w:val="0"/>
          <w:numId w:val="9"/>
        </w:numPr>
        <w:rPr>
          <w:color w:val="auto"/>
          <w:sz w:val="22"/>
        </w:rPr>
      </w:pPr>
      <w:r w:rsidRPr="008E62FD">
        <w:rPr>
          <w:color w:val="auto"/>
          <w:sz w:val="22"/>
        </w:rPr>
        <w:t xml:space="preserve">promote your services to employers </w:t>
      </w:r>
    </w:p>
    <w:p w14:paraId="6FF8CDA9" w14:textId="77777777" w:rsidR="00170CD2" w:rsidRPr="008E62FD" w:rsidRDefault="00170CD2" w:rsidP="002E0A2C">
      <w:pPr>
        <w:pStyle w:val="Bullet1"/>
        <w:numPr>
          <w:ilvl w:val="0"/>
          <w:numId w:val="9"/>
        </w:numPr>
        <w:rPr>
          <w:color w:val="auto"/>
          <w:sz w:val="22"/>
        </w:rPr>
      </w:pPr>
      <w:r w:rsidRPr="008E62FD">
        <w:rPr>
          <w:color w:val="auto"/>
          <w:sz w:val="22"/>
        </w:rPr>
        <w:t>learn more about your registered participants’ interests, skills and strengths, and</w:t>
      </w:r>
    </w:p>
    <w:p w14:paraId="36F6BE83" w14:textId="77777777" w:rsidR="00170CD2" w:rsidRPr="008E62FD" w:rsidRDefault="00170CD2" w:rsidP="002E0A2C">
      <w:pPr>
        <w:pStyle w:val="Bullet1"/>
        <w:numPr>
          <w:ilvl w:val="0"/>
          <w:numId w:val="9"/>
        </w:numPr>
        <w:rPr>
          <w:color w:val="auto"/>
          <w:sz w:val="22"/>
        </w:rPr>
      </w:pPr>
      <w:r w:rsidRPr="008E62FD">
        <w:rPr>
          <w:color w:val="auto"/>
          <w:sz w:val="22"/>
        </w:rPr>
        <w:t>learn more about local labour market needs and trends.</w:t>
      </w:r>
    </w:p>
    <w:p w14:paraId="32F773A5" w14:textId="77777777" w:rsidR="00170CD2" w:rsidRPr="008E62FD" w:rsidRDefault="00170CD2" w:rsidP="00170CD2">
      <w:pPr>
        <w:pStyle w:val="Bullet1"/>
        <w:rPr>
          <w:color w:val="auto"/>
          <w:sz w:val="22"/>
        </w:rPr>
      </w:pPr>
      <w:r w:rsidRPr="008E62FD">
        <w:rPr>
          <w:color w:val="auto"/>
          <w:sz w:val="22"/>
        </w:rPr>
        <w:t>It is important that AccessAbility Day is not taken as an opportunity to ‘hard sell’ your services or participants to participating employers. A key aim of the day is to encourage employers who might never have contemplated employing a person with disability to see what it is like to have a person with disability in their workplace. To make this as easy as possible, it is for only a day, and there should be no sense that an employer will go on to employ a person with disability.</w:t>
      </w:r>
    </w:p>
    <w:p w14:paraId="5A1C426D" w14:textId="77777777" w:rsidR="00170CD2" w:rsidRPr="00170CD2" w:rsidRDefault="00170CD2" w:rsidP="00170CD2">
      <w:pPr>
        <w:pStyle w:val="Bullet1"/>
        <w:rPr>
          <w:color w:val="auto"/>
        </w:rPr>
      </w:pPr>
    </w:p>
    <w:p w14:paraId="092D465D" w14:textId="77777777" w:rsidR="00170CD2" w:rsidRPr="00170CD2" w:rsidRDefault="00170CD2" w:rsidP="00170CD2">
      <w:r w:rsidRPr="00170CD2">
        <w:t>DES providers have a vital role in the delivery of AccessAbility Day working with both participants and employers to:</w:t>
      </w:r>
    </w:p>
    <w:p w14:paraId="28F10D71" w14:textId="77777777" w:rsidR="00170CD2" w:rsidRPr="008E62FD" w:rsidRDefault="00170CD2" w:rsidP="002E0A2C">
      <w:pPr>
        <w:pStyle w:val="Bullet1"/>
        <w:numPr>
          <w:ilvl w:val="0"/>
          <w:numId w:val="10"/>
        </w:numPr>
        <w:rPr>
          <w:color w:val="auto"/>
          <w:sz w:val="22"/>
        </w:rPr>
      </w:pPr>
      <w:r w:rsidRPr="008E62FD">
        <w:rPr>
          <w:color w:val="auto"/>
          <w:sz w:val="22"/>
        </w:rPr>
        <w:t xml:space="preserve">arrange AccessAbility Day placements </w:t>
      </w:r>
    </w:p>
    <w:p w14:paraId="429D6F9C" w14:textId="77777777" w:rsidR="00170CD2" w:rsidRPr="008E62FD" w:rsidRDefault="00170CD2" w:rsidP="002E0A2C">
      <w:pPr>
        <w:pStyle w:val="Bullet1"/>
        <w:numPr>
          <w:ilvl w:val="0"/>
          <w:numId w:val="10"/>
        </w:numPr>
        <w:rPr>
          <w:color w:val="auto"/>
          <w:sz w:val="22"/>
        </w:rPr>
      </w:pPr>
      <w:r w:rsidRPr="008E62FD">
        <w:rPr>
          <w:color w:val="auto"/>
          <w:sz w:val="22"/>
        </w:rPr>
        <w:t>engage with local employers to raise awareness of AccessAbility Day and encourage employers to host AccessAbility Day placements</w:t>
      </w:r>
    </w:p>
    <w:p w14:paraId="2CCF790F" w14:textId="77777777" w:rsidR="00170CD2" w:rsidRPr="008E62FD" w:rsidRDefault="00170CD2" w:rsidP="002E0A2C">
      <w:pPr>
        <w:pStyle w:val="Bullet1"/>
        <w:numPr>
          <w:ilvl w:val="0"/>
          <w:numId w:val="10"/>
        </w:numPr>
        <w:rPr>
          <w:color w:val="auto"/>
          <w:sz w:val="22"/>
        </w:rPr>
      </w:pPr>
      <w:r w:rsidRPr="008E62FD">
        <w:rPr>
          <w:color w:val="auto"/>
          <w:sz w:val="22"/>
        </w:rPr>
        <w:t>facilitate relevant participant placements with existing employers, matching as best as possible, participant interest with placement availability</w:t>
      </w:r>
    </w:p>
    <w:p w14:paraId="2E63EF92" w14:textId="77777777" w:rsidR="00170CD2" w:rsidRPr="008E62FD" w:rsidRDefault="00170CD2" w:rsidP="002E0A2C">
      <w:pPr>
        <w:pStyle w:val="Bullet1"/>
        <w:numPr>
          <w:ilvl w:val="0"/>
          <w:numId w:val="10"/>
        </w:numPr>
        <w:rPr>
          <w:color w:val="auto"/>
          <w:sz w:val="22"/>
        </w:rPr>
      </w:pPr>
      <w:r w:rsidRPr="008E62FD">
        <w:rPr>
          <w:color w:val="auto"/>
          <w:sz w:val="22"/>
        </w:rPr>
        <w:t>facilitate relevant participant placements with new employers registered for AccessAbility Day matching as best as possible, participant interest with placement availability</w:t>
      </w:r>
    </w:p>
    <w:p w14:paraId="4AEA7394" w14:textId="77777777" w:rsidR="00170CD2" w:rsidRPr="008E62FD" w:rsidRDefault="00170CD2" w:rsidP="002E0A2C">
      <w:pPr>
        <w:pStyle w:val="Bullet1"/>
        <w:numPr>
          <w:ilvl w:val="0"/>
          <w:numId w:val="10"/>
        </w:numPr>
        <w:rPr>
          <w:color w:val="auto"/>
          <w:sz w:val="22"/>
        </w:rPr>
      </w:pPr>
      <w:r w:rsidRPr="008E62FD">
        <w:rPr>
          <w:color w:val="auto"/>
          <w:sz w:val="22"/>
        </w:rPr>
        <w:t>promote AccessAbility Day to internal and external stakeholders</w:t>
      </w:r>
    </w:p>
    <w:p w14:paraId="1F60CFCE" w14:textId="77777777" w:rsidR="00170CD2" w:rsidRPr="008E62FD" w:rsidRDefault="00170CD2" w:rsidP="002E0A2C">
      <w:pPr>
        <w:pStyle w:val="Bullet1"/>
        <w:numPr>
          <w:ilvl w:val="0"/>
          <w:numId w:val="10"/>
        </w:numPr>
        <w:rPr>
          <w:color w:val="auto"/>
          <w:sz w:val="22"/>
        </w:rPr>
      </w:pPr>
      <w:r w:rsidRPr="008E62FD">
        <w:rPr>
          <w:color w:val="auto"/>
          <w:sz w:val="22"/>
        </w:rPr>
        <w:t>cover insurance requirements for each pla</w:t>
      </w:r>
      <w:r w:rsidR="00FD0486">
        <w:rPr>
          <w:color w:val="auto"/>
          <w:sz w:val="22"/>
        </w:rPr>
        <w:t>cement (see Insurance on page 11</w:t>
      </w:r>
      <w:r w:rsidRPr="008E62FD">
        <w:rPr>
          <w:color w:val="auto"/>
          <w:sz w:val="22"/>
        </w:rPr>
        <w:t xml:space="preserve"> for more information)</w:t>
      </w:r>
    </w:p>
    <w:p w14:paraId="6010DFE9" w14:textId="77777777" w:rsidR="00170CD2" w:rsidRPr="008E62FD" w:rsidRDefault="00170CD2" w:rsidP="002E0A2C">
      <w:pPr>
        <w:pStyle w:val="Bullet1"/>
        <w:numPr>
          <w:ilvl w:val="0"/>
          <w:numId w:val="10"/>
        </w:numPr>
        <w:rPr>
          <w:color w:val="auto"/>
          <w:sz w:val="22"/>
        </w:rPr>
      </w:pPr>
      <w:r w:rsidRPr="008E62FD">
        <w:rPr>
          <w:color w:val="auto"/>
          <w:sz w:val="22"/>
        </w:rPr>
        <w:t>complete a comprehensive risk assessment for each placement</w:t>
      </w:r>
    </w:p>
    <w:p w14:paraId="026AD1D4" w14:textId="77777777" w:rsidR="00170CD2" w:rsidRPr="008E62FD" w:rsidRDefault="00170CD2" w:rsidP="00170CD2">
      <w:pPr>
        <w:pStyle w:val="Bullet1"/>
        <w:ind w:left="284"/>
        <w:rPr>
          <w:color w:val="auto"/>
          <w:sz w:val="22"/>
        </w:rPr>
      </w:pPr>
    </w:p>
    <w:p w14:paraId="57005FDF" w14:textId="77777777" w:rsidR="008E62FD" w:rsidRDefault="008E62FD">
      <w:r>
        <w:br w:type="page"/>
      </w:r>
    </w:p>
    <w:p w14:paraId="446ACE26" w14:textId="77777777" w:rsidR="00170CD2" w:rsidRDefault="00170CD2" w:rsidP="00170CD2">
      <w:pPr>
        <w:autoSpaceDE w:val="0"/>
        <w:autoSpaceDN w:val="0"/>
        <w:adjustRightInd w:val="0"/>
        <w:spacing w:line="280" w:lineRule="atLeast"/>
      </w:pPr>
      <w:r w:rsidRPr="00170CD2">
        <w:lastRenderedPageBreak/>
        <w:t>Preparation is key to a successful AccessAbility Day and should include the following:</w:t>
      </w:r>
    </w:p>
    <w:p w14:paraId="50735402" w14:textId="77777777" w:rsidR="00170CD2" w:rsidRPr="00170CD2" w:rsidRDefault="00170CD2" w:rsidP="00170CD2">
      <w:pPr>
        <w:autoSpaceDE w:val="0"/>
        <w:autoSpaceDN w:val="0"/>
        <w:adjustRightInd w:val="0"/>
        <w:spacing w:line="280" w:lineRule="atLeast"/>
      </w:pPr>
    </w:p>
    <w:p w14:paraId="736AA026" w14:textId="77777777" w:rsidR="00170CD2" w:rsidRPr="008E62FD" w:rsidRDefault="00170CD2" w:rsidP="002E0A2C">
      <w:pPr>
        <w:pStyle w:val="ListParagraph"/>
        <w:numPr>
          <w:ilvl w:val="0"/>
          <w:numId w:val="8"/>
        </w:numPr>
        <w:autoSpaceDE w:val="0"/>
        <w:autoSpaceDN w:val="0"/>
        <w:adjustRightInd w:val="0"/>
        <w:rPr>
          <w:szCs w:val="22"/>
        </w:rPr>
      </w:pPr>
      <w:r w:rsidRPr="008E62FD">
        <w:rPr>
          <w:szCs w:val="22"/>
        </w:rPr>
        <w:t xml:space="preserve">record your registered jobseekers with disability who indicate their interest in participating in AccessAbility Day </w:t>
      </w:r>
      <w:r w:rsidR="00F65426">
        <w:rPr>
          <w:szCs w:val="22"/>
        </w:rPr>
        <w:t xml:space="preserve">using the Consultant Task function </w:t>
      </w:r>
      <w:r w:rsidR="00797724">
        <w:rPr>
          <w:szCs w:val="22"/>
        </w:rPr>
        <w:t>on ESSWeb</w:t>
      </w:r>
    </w:p>
    <w:p w14:paraId="5C8EC053" w14:textId="77777777" w:rsidR="00170CD2" w:rsidRPr="008E62FD" w:rsidRDefault="00170CD2" w:rsidP="002E0A2C">
      <w:pPr>
        <w:pStyle w:val="Bullet1"/>
        <w:numPr>
          <w:ilvl w:val="0"/>
          <w:numId w:val="8"/>
        </w:numPr>
        <w:ind w:left="284" w:hanging="284"/>
        <w:rPr>
          <w:color w:val="auto"/>
          <w:sz w:val="22"/>
        </w:rPr>
      </w:pPr>
      <w:r w:rsidRPr="008E62FD">
        <w:rPr>
          <w:color w:val="auto"/>
          <w:sz w:val="22"/>
        </w:rPr>
        <w:t xml:space="preserve">promote AccessAbility Day internally and externally to your stakeholders. There is a range of promotional material available to help you promote the initiative, including posters, and social media posts available at </w:t>
      </w:r>
      <w:hyperlink r:id="rId16" w:history="1">
        <w:r w:rsidRPr="008E62FD">
          <w:rPr>
            <w:rStyle w:val="Hyperlink"/>
            <w:sz w:val="22"/>
          </w:rPr>
          <w:t>JobAccess</w:t>
        </w:r>
      </w:hyperlink>
    </w:p>
    <w:p w14:paraId="6B7506FE" w14:textId="77777777" w:rsidR="00170CD2" w:rsidRPr="008E62FD" w:rsidRDefault="00170CD2" w:rsidP="002E0A2C">
      <w:pPr>
        <w:pStyle w:val="Bullet1"/>
        <w:numPr>
          <w:ilvl w:val="0"/>
          <w:numId w:val="8"/>
        </w:numPr>
        <w:ind w:left="284" w:hanging="284"/>
        <w:rPr>
          <w:color w:val="auto"/>
          <w:sz w:val="22"/>
        </w:rPr>
      </w:pPr>
      <w:r w:rsidRPr="008E62FD">
        <w:rPr>
          <w:color w:val="auto"/>
          <w:sz w:val="22"/>
        </w:rPr>
        <w:t>connect with employers and participants and provide them with all the relevant information about the day</w:t>
      </w:r>
    </w:p>
    <w:p w14:paraId="039A2C1F" w14:textId="77777777" w:rsidR="00716BE4" w:rsidRPr="00716BE4" w:rsidRDefault="00716BE4" w:rsidP="00716BE4"/>
    <w:p w14:paraId="4C9B5FD4" w14:textId="77777777" w:rsidR="00170CD2" w:rsidRDefault="00170CD2" w:rsidP="00170CD2">
      <w:pPr>
        <w:pStyle w:val="Heading4"/>
      </w:pPr>
      <w:bookmarkStart w:id="24" w:name="_Toc515973947"/>
      <w:r>
        <w:t>Organising placements</w:t>
      </w:r>
      <w:bookmarkEnd w:id="24"/>
    </w:p>
    <w:p w14:paraId="7FB81530" w14:textId="77777777" w:rsidR="00170CD2" w:rsidRDefault="00170CD2" w:rsidP="00170CD2">
      <w:r w:rsidRPr="00106E82">
        <w:t xml:space="preserve">In accordance with the Grant </w:t>
      </w:r>
      <w:r>
        <w:t>“</w:t>
      </w:r>
      <w:r w:rsidRPr="00106E82">
        <w:t>the Provider must use its best endeavours to promote AccessAbility Day to its Customers and arrange AccessAbility Day Placements for any Participants Registered with the Provider that elect to participate in AccessAbility Day</w:t>
      </w:r>
      <w:r>
        <w:t>”</w:t>
      </w:r>
      <w:r w:rsidRPr="00106E82">
        <w:t>.</w:t>
      </w:r>
    </w:p>
    <w:p w14:paraId="5411D616" w14:textId="77777777" w:rsidR="00170CD2" w:rsidRPr="00106E82" w:rsidRDefault="00170CD2" w:rsidP="00170CD2"/>
    <w:p w14:paraId="4B4EE960" w14:textId="77777777" w:rsidR="00170CD2" w:rsidRDefault="00170CD2" w:rsidP="00170CD2">
      <w:r>
        <w:t>We encourage you to use your existing employer relationships. Employers around the country, new to working with people with disability will also be encouraged to register. The options for sourcing employers are</w:t>
      </w:r>
      <w:r w:rsidR="002604E1">
        <w:t>:</w:t>
      </w:r>
    </w:p>
    <w:p w14:paraId="2D5BEA7B" w14:textId="77777777" w:rsidR="00170CD2" w:rsidRPr="00A57650" w:rsidRDefault="00170CD2" w:rsidP="00170CD2"/>
    <w:p w14:paraId="3A3F4C06" w14:textId="77777777" w:rsidR="00170CD2" w:rsidRPr="00170CD2" w:rsidRDefault="00170CD2" w:rsidP="00170CD2">
      <w:r w:rsidRPr="00170CD2">
        <w:t>Using existing employer relationships</w:t>
      </w:r>
    </w:p>
    <w:p w14:paraId="295445C4" w14:textId="77777777" w:rsidR="00170CD2" w:rsidRPr="008E62FD" w:rsidRDefault="00170CD2" w:rsidP="002E0A2C">
      <w:pPr>
        <w:pStyle w:val="Bullet1"/>
        <w:numPr>
          <w:ilvl w:val="0"/>
          <w:numId w:val="12"/>
        </w:numPr>
        <w:rPr>
          <w:color w:val="auto"/>
          <w:sz w:val="22"/>
        </w:rPr>
      </w:pPr>
      <w:r w:rsidRPr="008E62FD">
        <w:rPr>
          <w:color w:val="auto"/>
          <w:sz w:val="22"/>
        </w:rPr>
        <w:t>employers you have worked with before may be interested in hosting a participant, or participants for AccessAbility Day</w:t>
      </w:r>
    </w:p>
    <w:p w14:paraId="210543E6" w14:textId="77777777" w:rsidR="00170CD2" w:rsidRPr="008E62FD" w:rsidRDefault="00170CD2" w:rsidP="002E0A2C">
      <w:pPr>
        <w:pStyle w:val="Bullet1"/>
        <w:numPr>
          <w:ilvl w:val="0"/>
          <w:numId w:val="12"/>
        </w:numPr>
        <w:rPr>
          <w:color w:val="auto"/>
          <w:sz w:val="22"/>
        </w:rPr>
      </w:pPr>
      <w:r w:rsidRPr="008E62FD">
        <w:rPr>
          <w:color w:val="auto"/>
          <w:sz w:val="22"/>
        </w:rPr>
        <w:t xml:space="preserve">once you have their agreement, you should record the employer details against the participant in </w:t>
      </w:r>
      <w:r w:rsidR="00797724">
        <w:rPr>
          <w:color w:val="auto"/>
          <w:sz w:val="22"/>
        </w:rPr>
        <w:t>the Consultant Task function in ESSWeb</w:t>
      </w:r>
      <w:r w:rsidRPr="008E62FD">
        <w:rPr>
          <w:color w:val="auto"/>
          <w:sz w:val="22"/>
        </w:rPr>
        <w:t xml:space="preserve"> </w:t>
      </w:r>
    </w:p>
    <w:p w14:paraId="620AA445" w14:textId="77777777" w:rsidR="00170CD2" w:rsidRPr="008E62FD" w:rsidRDefault="00170CD2" w:rsidP="002E0A2C">
      <w:pPr>
        <w:pStyle w:val="Bullet1"/>
        <w:numPr>
          <w:ilvl w:val="0"/>
          <w:numId w:val="12"/>
        </w:numPr>
        <w:rPr>
          <w:color w:val="auto"/>
          <w:sz w:val="22"/>
        </w:rPr>
      </w:pPr>
      <w:r w:rsidRPr="008E62FD">
        <w:rPr>
          <w:color w:val="auto"/>
          <w:sz w:val="22"/>
        </w:rPr>
        <w:t>these employers are not required to register online through the AccessAbility website and will not have their details shared with other DES providers (unless the employers themselves contact other DES providers)</w:t>
      </w:r>
    </w:p>
    <w:p w14:paraId="4D4CE37A" w14:textId="77777777" w:rsidR="00170CD2" w:rsidRDefault="00170CD2" w:rsidP="00170CD2">
      <w:pPr>
        <w:pStyle w:val="Bullet1"/>
      </w:pPr>
    </w:p>
    <w:p w14:paraId="19BF9531" w14:textId="77777777" w:rsidR="00170CD2" w:rsidRPr="00170CD2" w:rsidRDefault="00170CD2" w:rsidP="00170CD2">
      <w:r w:rsidRPr="00170CD2">
        <w:t>Work with JobAccess to engage new employers</w:t>
      </w:r>
    </w:p>
    <w:p w14:paraId="65CB326B" w14:textId="77777777" w:rsidR="00170CD2" w:rsidRPr="008E62FD" w:rsidRDefault="00170CD2" w:rsidP="002E0A2C">
      <w:pPr>
        <w:pStyle w:val="Bullet1"/>
        <w:numPr>
          <w:ilvl w:val="0"/>
          <w:numId w:val="13"/>
        </w:numPr>
        <w:rPr>
          <w:color w:val="auto"/>
          <w:sz w:val="22"/>
        </w:rPr>
      </w:pPr>
      <w:r w:rsidRPr="008E62FD">
        <w:rPr>
          <w:color w:val="auto"/>
          <w:sz w:val="22"/>
        </w:rPr>
        <w:t>AccessAbility Day will be promoted across the country, encouraging employers to register on the AccessAbility Day website to host a participant or participants for a day</w:t>
      </w:r>
    </w:p>
    <w:p w14:paraId="3F5A26DC" w14:textId="77777777" w:rsidR="00170CD2" w:rsidRDefault="00170CD2" w:rsidP="002E0A2C">
      <w:pPr>
        <w:pStyle w:val="Bullet1"/>
        <w:numPr>
          <w:ilvl w:val="0"/>
          <w:numId w:val="13"/>
        </w:numPr>
        <w:rPr>
          <w:color w:val="auto"/>
          <w:sz w:val="22"/>
        </w:rPr>
      </w:pPr>
      <w:r w:rsidRPr="008E62FD">
        <w:rPr>
          <w:color w:val="auto"/>
          <w:sz w:val="22"/>
        </w:rPr>
        <w:t xml:space="preserve">when a new employer registers for AccessAbility Day, JobAccess will </w:t>
      </w:r>
      <w:r w:rsidR="00D01488">
        <w:rPr>
          <w:color w:val="auto"/>
          <w:sz w:val="22"/>
        </w:rPr>
        <w:t>contact by email or phone,</w:t>
      </w:r>
      <w:r w:rsidRPr="008E62FD">
        <w:rPr>
          <w:color w:val="auto"/>
          <w:sz w:val="22"/>
        </w:rPr>
        <w:t xml:space="preserve"> the closest ten DES providers, based on post code proximity to the employer. When you </w:t>
      </w:r>
      <w:r w:rsidR="00D01488">
        <w:rPr>
          <w:color w:val="auto"/>
          <w:sz w:val="22"/>
        </w:rPr>
        <w:t>have been contacted and advised of the</w:t>
      </w:r>
      <w:r w:rsidRPr="008E62FD">
        <w:rPr>
          <w:color w:val="auto"/>
          <w:sz w:val="22"/>
        </w:rPr>
        <w:t xml:space="preserve"> employer placement details you </w:t>
      </w:r>
      <w:r w:rsidR="00D01488">
        <w:rPr>
          <w:color w:val="auto"/>
          <w:sz w:val="22"/>
        </w:rPr>
        <w:t xml:space="preserve">can check </w:t>
      </w:r>
      <w:r w:rsidRPr="008E62FD">
        <w:rPr>
          <w:color w:val="auto"/>
          <w:sz w:val="22"/>
        </w:rPr>
        <w:t>if it matches the requirements of one of your participating AccessAbility Day caseload. It is then up to you to contact the employer and organise the placement for a mutually suitable day for both the employer and participant</w:t>
      </w:r>
    </w:p>
    <w:p w14:paraId="0091A6A9" w14:textId="77777777" w:rsidR="00CF0658" w:rsidRPr="00CF0658" w:rsidRDefault="00F65426" w:rsidP="00CF0658">
      <w:pPr>
        <w:pStyle w:val="ListParagraph"/>
        <w:numPr>
          <w:ilvl w:val="0"/>
          <w:numId w:val="13"/>
        </w:num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o</w:t>
      </w:r>
      <w:r w:rsidR="00CF0658" w:rsidRPr="00CF0658">
        <w:rPr>
          <w:rFonts w:asciiTheme="minorHAnsi" w:eastAsiaTheme="minorHAnsi" w:hAnsiTheme="minorHAnsi" w:cstheme="minorBidi"/>
          <w:szCs w:val="22"/>
          <w:lang w:eastAsia="en-US"/>
        </w:rPr>
        <w:t xml:space="preserve">nce a placement is made with a new employer, please inform JobAccess by email </w:t>
      </w:r>
      <w:r w:rsidR="00D01488">
        <w:rPr>
          <w:rFonts w:asciiTheme="minorHAnsi" w:eastAsiaTheme="minorHAnsi" w:hAnsiTheme="minorHAnsi" w:cstheme="minorBidi"/>
          <w:szCs w:val="22"/>
          <w:lang w:eastAsia="en-US"/>
        </w:rPr>
        <w:t>to</w:t>
      </w:r>
      <w:r w:rsidR="00CF0658" w:rsidRPr="00CF0658">
        <w:rPr>
          <w:rFonts w:asciiTheme="minorHAnsi" w:eastAsiaTheme="minorHAnsi" w:hAnsiTheme="minorHAnsi" w:cstheme="minorBidi"/>
          <w:szCs w:val="22"/>
          <w:lang w:eastAsia="en-US"/>
        </w:rPr>
        <w:t xml:space="preserve"> accessabilityday@workfocus.com, and record </w:t>
      </w:r>
      <w:r w:rsidR="00CF0658">
        <w:rPr>
          <w:rFonts w:asciiTheme="minorHAnsi" w:eastAsiaTheme="minorHAnsi" w:hAnsiTheme="minorHAnsi" w:cstheme="minorBidi"/>
          <w:szCs w:val="22"/>
          <w:lang w:eastAsia="en-US"/>
        </w:rPr>
        <w:t xml:space="preserve">the details using the Consultant Task function </w:t>
      </w:r>
      <w:r w:rsidR="00CF0658" w:rsidRPr="00CF0658">
        <w:rPr>
          <w:rFonts w:asciiTheme="minorHAnsi" w:eastAsiaTheme="minorHAnsi" w:hAnsiTheme="minorHAnsi" w:cstheme="minorBidi"/>
          <w:szCs w:val="22"/>
          <w:lang w:eastAsia="en-US"/>
        </w:rPr>
        <w:t>in ESSWeb</w:t>
      </w:r>
    </w:p>
    <w:p w14:paraId="6EB3419C" w14:textId="77777777" w:rsidR="00CF0658" w:rsidRPr="008E62FD" w:rsidRDefault="00CA12C4" w:rsidP="00CA12C4">
      <w:pPr>
        <w:pStyle w:val="Bullet1"/>
        <w:numPr>
          <w:ilvl w:val="0"/>
          <w:numId w:val="13"/>
        </w:numPr>
        <w:rPr>
          <w:color w:val="auto"/>
          <w:sz w:val="22"/>
        </w:rPr>
      </w:pPr>
      <w:r>
        <w:rPr>
          <w:color w:val="auto"/>
          <w:sz w:val="22"/>
        </w:rPr>
        <w:t>p</w:t>
      </w:r>
      <w:r w:rsidRPr="00CA12C4">
        <w:rPr>
          <w:color w:val="auto"/>
          <w:sz w:val="22"/>
        </w:rPr>
        <w:t>lease note that other DES</w:t>
      </w:r>
      <w:r w:rsidR="00D01488">
        <w:rPr>
          <w:color w:val="auto"/>
          <w:sz w:val="22"/>
        </w:rPr>
        <w:t xml:space="preserve"> providers</w:t>
      </w:r>
      <w:r w:rsidRPr="00CA12C4">
        <w:rPr>
          <w:color w:val="auto"/>
          <w:sz w:val="22"/>
        </w:rPr>
        <w:t xml:space="preserve"> in the local area may also have a participant that matches the new employer</w:t>
      </w:r>
      <w:r w:rsidR="00251643">
        <w:rPr>
          <w:color w:val="auto"/>
          <w:sz w:val="22"/>
        </w:rPr>
        <w:t>’</w:t>
      </w:r>
      <w:r w:rsidRPr="00CA12C4">
        <w:rPr>
          <w:color w:val="auto"/>
          <w:sz w:val="22"/>
        </w:rPr>
        <w:t xml:space="preserve">s </w:t>
      </w:r>
      <w:r w:rsidR="00D01488">
        <w:rPr>
          <w:color w:val="auto"/>
          <w:sz w:val="22"/>
        </w:rPr>
        <w:t xml:space="preserve">AccessAbility Day placement </w:t>
      </w:r>
      <w:r w:rsidRPr="00CA12C4">
        <w:rPr>
          <w:color w:val="auto"/>
          <w:sz w:val="22"/>
        </w:rPr>
        <w:t>registration, the employer will advise you if there is already a placement confirmed</w:t>
      </w:r>
    </w:p>
    <w:p w14:paraId="6DE901EB" w14:textId="77777777" w:rsidR="00170CD2" w:rsidRPr="008E62FD" w:rsidRDefault="00170CD2" w:rsidP="002E0A2C">
      <w:pPr>
        <w:pStyle w:val="Bullet1"/>
        <w:numPr>
          <w:ilvl w:val="0"/>
          <w:numId w:val="13"/>
        </w:numPr>
        <w:rPr>
          <w:color w:val="auto"/>
          <w:sz w:val="22"/>
        </w:rPr>
      </w:pPr>
      <w:r w:rsidRPr="008E62FD">
        <w:rPr>
          <w:color w:val="auto"/>
          <w:sz w:val="22"/>
        </w:rPr>
        <w:lastRenderedPageBreak/>
        <w:t>it is important to note that these employers are only registering for a one day commitment for AccessAbility Day and are not agreeing to be contacted by DES for other programs or activities outside of AccessAbility Day</w:t>
      </w:r>
    </w:p>
    <w:p w14:paraId="1EFB90AE" w14:textId="77777777" w:rsidR="00170CD2" w:rsidRPr="00D37AA3" w:rsidRDefault="00170CD2" w:rsidP="00170CD2">
      <w:pPr>
        <w:pStyle w:val="Bullet1"/>
        <w:ind w:left="720"/>
      </w:pPr>
    </w:p>
    <w:p w14:paraId="33EA23E0" w14:textId="77777777" w:rsidR="00170CD2" w:rsidRPr="00170CD2" w:rsidRDefault="00170CD2" w:rsidP="00170CD2">
      <w:r w:rsidRPr="00170CD2">
        <w:t>Think outside of your usual employers</w:t>
      </w:r>
    </w:p>
    <w:p w14:paraId="386F18D9" w14:textId="77777777" w:rsidR="00170CD2" w:rsidRPr="008E62FD" w:rsidRDefault="00170CD2" w:rsidP="002E0A2C">
      <w:pPr>
        <w:pStyle w:val="Bullet1"/>
        <w:numPr>
          <w:ilvl w:val="0"/>
          <w:numId w:val="14"/>
        </w:numPr>
        <w:rPr>
          <w:color w:val="auto"/>
          <w:sz w:val="22"/>
        </w:rPr>
      </w:pPr>
      <w:r w:rsidRPr="008E62FD">
        <w:rPr>
          <w:color w:val="auto"/>
          <w:sz w:val="22"/>
        </w:rPr>
        <w:t>AccessAbility Day is a one day, non-ongoing commitment so it is perfect for employers who may be considering improving their disability employment practices to learn more about DES and employing jobseekers with disability</w:t>
      </w:r>
    </w:p>
    <w:p w14:paraId="191919D2" w14:textId="77777777" w:rsidR="00170CD2" w:rsidRPr="008E62FD" w:rsidRDefault="00170CD2" w:rsidP="002E0A2C">
      <w:pPr>
        <w:pStyle w:val="Bullet1"/>
        <w:numPr>
          <w:ilvl w:val="0"/>
          <w:numId w:val="14"/>
        </w:numPr>
        <w:rPr>
          <w:color w:val="auto"/>
          <w:sz w:val="22"/>
        </w:rPr>
      </w:pPr>
      <w:r w:rsidRPr="008E62FD">
        <w:rPr>
          <w:color w:val="auto"/>
          <w:sz w:val="22"/>
        </w:rPr>
        <w:t>local Chambers of Commerce or Councils may be able to connect you with willing employers or register to be host employers themselves</w:t>
      </w:r>
    </w:p>
    <w:p w14:paraId="730050B9" w14:textId="77777777" w:rsidR="00BE0998" w:rsidRDefault="00BE0998" w:rsidP="005502F7"/>
    <w:p w14:paraId="6E25B553" w14:textId="77777777" w:rsidR="00BE0998" w:rsidRDefault="00BE0998" w:rsidP="00BE0998">
      <w:pPr>
        <w:pStyle w:val="Heading3"/>
      </w:pPr>
      <w:bookmarkStart w:id="25" w:name="_Toc524616548"/>
      <w:bookmarkStart w:id="26" w:name="_Toc515973948"/>
      <w:r>
        <w:t>Caseload Management and Reporting Requirements</w:t>
      </w:r>
      <w:bookmarkEnd w:id="25"/>
      <w:r>
        <w:t xml:space="preserve"> </w:t>
      </w:r>
      <w:bookmarkEnd w:id="26"/>
    </w:p>
    <w:p w14:paraId="37AA358D" w14:textId="77777777" w:rsidR="00D01488" w:rsidRPr="00D01488" w:rsidRDefault="00797724" w:rsidP="006B4AFD">
      <w:pPr>
        <w:rPr>
          <w:szCs w:val="22"/>
        </w:rPr>
      </w:pPr>
      <w:r>
        <w:t xml:space="preserve">The </w:t>
      </w:r>
      <w:r w:rsidR="00BE0998">
        <w:t xml:space="preserve">AccessAbility Day caseload management and reporting functionality </w:t>
      </w:r>
      <w:r>
        <w:t>is now available. See</w:t>
      </w:r>
      <w:r w:rsidR="00D01488">
        <w:t xml:space="preserve"> ‘Disability Employment Services ESSWeb System instructions to register jobseekers’</w:t>
      </w:r>
    </w:p>
    <w:p w14:paraId="17D53A91" w14:textId="77777777" w:rsidR="00BE0998" w:rsidRDefault="00797724" w:rsidP="00BE0998">
      <w:r>
        <w:t>on the AccessAbility Day website for instructions on how to use it.</w:t>
      </w:r>
    </w:p>
    <w:p w14:paraId="6A348612" w14:textId="77777777" w:rsidR="00BE0998" w:rsidRDefault="00BE0998" w:rsidP="00BE0998">
      <w:r>
        <w:t xml:space="preserve"> </w:t>
      </w:r>
    </w:p>
    <w:p w14:paraId="7C083F9F" w14:textId="77777777" w:rsidR="00BE0998" w:rsidRDefault="00486E0E" w:rsidP="00BE0998">
      <w:r>
        <w:t xml:space="preserve">If you have arranged placements before </w:t>
      </w:r>
      <w:r w:rsidR="00F65426">
        <w:t>10</w:t>
      </w:r>
      <w:r>
        <w:t xml:space="preserve"> September, 2018, please now record these placement details on ESSWeb.</w:t>
      </w:r>
    </w:p>
    <w:p w14:paraId="637DA3DB" w14:textId="77777777" w:rsidR="00BE0998" w:rsidRDefault="00BE0998" w:rsidP="00BE0998">
      <w:r>
        <w:t xml:space="preserve"> </w:t>
      </w:r>
    </w:p>
    <w:p w14:paraId="6603F461" w14:textId="77777777" w:rsidR="00BE0998" w:rsidRDefault="00097643" w:rsidP="00BE0998">
      <w:r>
        <w:t>A</w:t>
      </w:r>
      <w:r w:rsidR="00BE0998">
        <w:t xml:space="preserve">ll AccessAbility Day placements must be recorded </w:t>
      </w:r>
      <w:r w:rsidR="00F65426">
        <w:t>using the Consultant Task function</w:t>
      </w:r>
      <w:r w:rsidR="00BE0998">
        <w:t xml:space="preserve"> in ESSWeb, including the employer’s legal name, </w:t>
      </w:r>
      <w:r w:rsidR="00BE0998" w:rsidRPr="00492B8E">
        <w:t>contact person, phone number</w:t>
      </w:r>
      <w:r w:rsidR="00BE0998">
        <w:t>, date and</w:t>
      </w:r>
      <w:r w:rsidR="00BE0998" w:rsidRPr="00492B8E">
        <w:t xml:space="preserve"> type of AccessAbility Day </w:t>
      </w:r>
      <w:r w:rsidR="00BE0998">
        <w:t>placement.</w:t>
      </w:r>
    </w:p>
    <w:p w14:paraId="40C315B0" w14:textId="77777777" w:rsidR="00BE0998" w:rsidRDefault="00BE0998" w:rsidP="00BE0998">
      <w:pPr>
        <w:pStyle w:val="Heading3"/>
      </w:pPr>
      <w:bookmarkStart w:id="27" w:name="_Toc515973949"/>
      <w:bookmarkStart w:id="28" w:name="_Toc524616549"/>
      <w:r>
        <w:t>What to do if a participant cancels</w:t>
      </w:r>
      <w:bookmarkEnd w:id="27"/>
      <w:bookmarkEnd w:id="28"/>
    </w:p>
    <w:p w14:paraId="1723E2B9" w14:textId="77777777" w:rsidR="00BE0998" w:rsidRDefault="00BE0998" w:rsidP="00BE0998">
      <w:r>
        <w:t>For a number of reasons, after registering, participants may no longer like, or be able to participate in AccessAbility Day.</w:t>
      </w:r>
    </w:p>
    <w:p w14:paraId="56BD8841" w14:textId="77777777" w:rsidR="00BE0998" w:rsidRDefault="00BE0998" w:rsidP="00BE0998"/>
    <w:p w14:paraId="40211688" w14:textId="77777777" w:rsidR="00BE0998" w:rsidRDefault="00BE0998" w:rsidP="00BE0998">
      <w:r w:rsidRPr="00173351">
        <w:t>Before the Day</w:t>
      </w:r>
      <w:r>
        <w:t>:</w:t>
      </w:r>
    </w:p>
    <w:p w14:paraId="506A2EFB" w14:textId="77777777" w:rsidR="00BE0998" w:rsidRPr="00173351" w:rsidRDefault="00BE0998" w:rsidP="00BE0998"/>
    <w:p w14:paraId="14992947" w14:textId="77777777" w:rsidR="00BE0998" w:rsidRDefault="00BE0998" w:rsidP="00BE0998">
      <w:r>
        <w:t>If the participant withdraws before the day, you may have enough time to organise another participant to match to the employer. It is recommended that you contact the employer to let them know of changed circumstances and record the reason that the jobseeker will no longer participate</w:t>
      </w:r>
      <w:r w:rsidR="00097643">
        <w:t xml:space="preserve"> in the notes section of the Consultant Task function</w:t>
      </w:r>
      <w:r>
        <w:t>.</w:t>
      </w:r>
    </w:p>
    <w:p w14:paraId="52D15751" w14:textId="77777777" w:rsidR="00BE0998" w:rsidRDefault="00BE0998" w:rsidP="00BE0998">
      <w:r>
        <w:t xml:space="preserve"> </w:t>
      </w:r>
    </w:p>
    <w:p w14:paraId="440FA60D" w14:textId="77777777" w:rsidR="00BE0998" w:rsidRPr="00650B62" w:rsidRDefault="00BE0998" w:rsidP="00BE0998">
      <w:r w:rsidRPr="002A7014">
        <w:t xml:space="preserve">If you are unable to match a new participant to the employer and </w:t>
      </w:r>
      <w:r w:rsidRPr="00F37D8E">
        <w:t>the employer has been organised through JobAccess</w:t>
      </w:r>
      <w:r>
        <w:t>,</w:t>
      </w:r>
      <w:r w:rsidRPr="00F37D8E">
        <w:t xml:space="preserve"> let JobAccess know that you are no longer able to match this employer.</w:t>
      </w:r>
    </w:p>
    <w:p w14:paraId="27622295" w14:textId="77777777" w:rsidR="00F65426" w:rsidRDefault="00F65426" w:rsidP="00BE0998"/>
    <w:p w14:paraId="7AD56A25" w14:textId="77777777" w:rsidR="00BE0998" w:rsidRDefault="00BE0998" w:rsidP="00BE0998">
      <w:r>
        <w:t>If the employer was organised through your existing relationship, let the employer know directly that you are not able to match them with a participant.</w:t>
      </w:r>
    </w:p>
    <w:p w14:paraId="6855FA3C" w14:textId="77777777" w:rsidR="00BE0998" w:rsidRDefault="00BE0998" w:rsidP="00BE0998">
      <w:r>
        <w:t xml:space="preserve"> </w:t>
      </w:r>
    </w:p>
    <w:p w14:paraId="456DC61C" w14:textId="77777777" w:rsidR="00BE0998" w:rsidRDefault="00BE0998" w:rsidP="00BE0998">
      <w:r w:rsidRPr="00173351">
        <w:t>On the Day</w:t>
      </w:r>
      <w:r>
        <w:t>:</w:t>
      </w:r>
    </w:p>
    <w:p w14:paraId="1F55F2BF" w14:textId="77777777" w:rsidR="00BE0998" w:rsidRPr="00173351" w:rsidRDefault="00BE0998" w:rsidP="00BE0998"/>
    <w:p w14:paraId="3F4E434F" w14:textId="77777777" w:rsidR="00BE0998" w:rsidRDefault="00BE0998" w:rsidP="00BE0998">
      <w:r>
        <w:t>If the participant informs you on the day that they are unable to take part in AccessAbility Day, contact the employer directly and let them know.</w:t>
      </w:r>
    </w:p>
    <w:p w14:paraId="3878F0D6" w14:textId="77777777" w:rsidR="00F65426" w:rsidRDefault="00F65426" w:rsidP="00BE0998"/>
    <w:p w14:paraId="12BC11FE" w14:textId="77777777" w:rsidR="00BE0998" w:rsidRDefault="00BE0998" w:rsidP="00BE0998">
      <w:r>
        <w:lastRenderedPageBreak/>
        <w:t xml:space="preserve">Please ensure that you record the reason for non-participation </w:t>
      </w:r>
      <w:r w:rsidR="00097643">
        <w:t>in the notes section of the Consultant Task function.</w:t>
      </w:r>
    </w:p>
    <w:p w14:paraId="540B055B" w14:textId="77777777" w:rsidR="0022064C" w:rsidRDefault="0022064C" w:rsidP="0022064C">
      <w:pPr>
        <w:spacing w:after="120" w:line="440" w:lineRule="atLeast"/>
      </w:pPr>
    </w:p>
    <w:p w14:paraId="45D943DB" w14:textId="77777777" w:rsidR="00BE0998" w:rsidRPr="00AF7137" w:rsidRDefault="00BE0998" w:rsidP="00BE0998">
      <w:pPr>
        <w:pStyle w:val="Heading3"/>
      </w:pPr>
      <w:bookmarkStart w:id="29" w:name="_Toc515973951"/>
      <w:bookmarkStart w:id="30" w:name="_Toc524616550"/>
      <w:r w:rsidRPr="00AF7137">
        <w:t>What an AccessAbility Day experience could look like</w:t>
      </w:r>
      <w:bookmarkEnd w:id="29"/>
      <w:bookmarkEnd w:id="30"/>
    </w:p>
    <w:p w14:paraId="3B0D138F" w14:textId="77777777" w:rsidR="00BE0998" w:rsidRDefault="00BE0998" w:rsidP="00BE0998">
      <w:r>
        <w:t xml:space="preserve">It is considered best practice to tailor </w:t>
      </w:r>
      <w:r w:rsidRPr="007E67F8">
        <w:t>AccessAbility Day to suit the individual needs and requirements of both the employer and participants.</w:t>
      </w:r>
    </w:p>
    <w:p w14:paraId="7FB4171B" w14:textId="77777777" w:rsidR="00BE0998" w:rsidRPr="007E67F8" w:rsidRDefault="00BE0998" w:rsidP="00BE0998">
      <w:r w:rsidRPr="007E67F8">
        <w:t xml:space="preserve"> </w:t>
      </w:r>
    </w:p>
    <w:p w14:paraId="3AE775EC" w14:textId="77777777" w:rsidR="00BE0998" w:rsidRPr="007E67F8" w:rsidRDefault="00BE0998" w:rsidP="00BE0998">
      <w:r w:rsidRPr="007E67F8">
        <w:t xml:space="preserve">With this goal in mind, everyone’s AccessAbility Day experience will be different, depending on the employer, the workplace and the person with </w:t>
      </w:r>
      <w:r w:rsidRPr="00C927BF">
        <w:t>disability’s area of interest.</w:t>
      </w:r>
      <w:r w:rsidRPr="007E67F8">
        <w:t xml:space="preserve"> Some of the activities employers may wish to consider as part of the </w:t>
      </w:r>
      <w:r>
        <w:t>d</w:t>
      </w:r>
      <w:r w:rsidRPr="007E67F8">
        <w:t>ay in their workplace include:</w:t>
      </w:r>
    </w:p>
    <w:p w14:paraId="5CA3B62D" w14:textId="77777777" w:rsidR="00BE0998" w:rsidRPr="008E62FD" w:rsidRDefault="00BE0998" w:rsidP="002E0A2C">
      <w:pPr>
        <w:pStyle w:val="Bullet1"/>
        <w:numPr>
          <w:ilvl w:val="0"/>
          <w:numId w:val="15"/>
        </w:numPr>
        <w:rPr>
          <w:color w:val="auto"/>
          <w:sz w:val="22"/>
        </w:rPr>
      </w:pPr>
      <w:r w:rsidRPr="008E62FD">
        <w:rPr>
          <w:color w:val="auto"/>
          <w:sz w:val="22"/>
        </w:rPr>
        <w:t xml:space="preserve">a meet and greet, where the participant is introduced to staff members </w:t>
      </w:r>
    </w:p>
    <w:p w14:paraId="0F90B537" w14:textId="77777777" w:rsidR="00BE0998" w:rsidRPr="008E62FD" w:rsidRDefault="00BE0998" w:rsidP="002E0A2C">
      <w:pPr>
        <w:pStyle w:val="Bullet1"/>
        <w:numPr>
          <w:ilvl w:val="0"/>
          <w:numId w:val="15"/>
        </w:numPr>
        <w:rPr>
          <w:color w:val="auto"/>
          <w:sz w:val="22"/>
        </w:rPr>
      </w:pPr>
      <w:r w:rsidRPr="008E62FD">
        <w:rPr>
          <w:color w:val="auto"/>
          <w:sz w:val="22"/>
        </w:rPr>
        <w:t xml:space="preserve">a tour of the workplace to familiarise the participant with the location, environment and facilities (i.e. bathroom, kitchen, etc.) </w:t>
      </w:r>
    </w:p>
    <w:p w14:paraId="3D84C2CB" w14:textId="77777777" w:rsidR="00BE0998" w:rsidRPr="008E62FD" w:rsidRDefault="00BE0998" w:rsidP="002E0A2C">
      <w:pPr>
        <w:pStyle w:val="Bullet1"/>
        <w:numPr>
          <w:ilvl w:val="0"/>
          <w:numId w:val="15"/>
        </w:numPr>
        <w:rPr>
          <w:color w:val="auto"/>
          <w:sz w:val="22"/>
        </w:rPr>
      </w:pPr>
      <w:r w:rsidRPr="008E62FD">
        <w:rPr>
          <w:color w:val="auto"/>
          <w:sz w:val="22"/>
        </w:rPr>
        <w:t>a rundown of Work Health and Safety requirements and security and evacuation procedures</w:t>
      </w:r>
    </w:p>
    <w:p w14:paraId="2931A7FC" w14:textId="77777777" w:rsidR="00BE0998" w:rsidRPr="008E62FD" w:rsidRDefault="00BE0998" w:rsidP="002E0A2C">
      <w:pPr>
        <w:pStyle w:val="Bullet1"/>
        <w:numPr>
          <w:ilvl w:val="0"/>
          <w:numId w:val="15"/>
        </w:numPr>
        <w:rPr>
          <w:color w:val="auto"/>
          <w:sz w:val="22"/>
        </w:rPr>
      </w:pPr>
      <w:r w:rsidRPr="008E62FD">
        <w:rPr>
          <w:color w:val="auto"/>
          <w:sz w:val="22"/>
        </w:rPr>
        <w:t xml:space="preserve">a demonstration of industry specific skills </w:t>
      </w:r>
    </w:p>
    <w:p w14:paraId="710637E6" w14:textId="77777777" w:rsidR="00BE0998" w:rsidRPr="008E62FD" w:rsidRDefault="00BE0998" w:rsidP="002E0A2C">
      <w:pPr>
        <w:pStyle w:val="Bullet1"/>
        <w:numPr>
          <w:ilvl w:val="0"/>
          <w:numId w:val="15"/>
        </w:numPr>
        <w:rPr>
          <w:color w:val="auto"/>
          <w:sz w:val="22"/>
        </w:rPr>
      </w:pPr>
      <w:r w:rsidRPr="008E62FD">
        <w:rPr>
          <w:color w:val="auto"/>
          <w:sz w:val="22"/>
        </w:rPr>
        <w:t>a discussion about why the employer became involved in AccessAbility Day</w:t>
      </w:r>
    </w:p>
    <w:p w14:paraId="169B6C17" w14:textId="77777777" w:rsidR="00BE0998" w:rsidRPr="008E62FD" w:rsidRDefault="00BE0998" w:rsidP="002E0A2C">
      <w:pPr>
        <w:pStyle w:val="Bullet1"/>
        <w:numPr>
          <w:ilvl w:val="0"/>
          <w:numId w:val="15"/>
        </w:numPr>
        <w:rPr>
          <w:color w:val="auto"/>
          <w:sz w:val="22"/>
        </w:rPr>
      </w:pPr>
      <w:r w:rsidRPr="008E62FD">
        <w:rPr>
          <w:color w:val="auto"/>
          <w:sz w:val="22"/>
        </w:rPr>
        <w:t>explaining the mission and goals of the organisation</w:t>
      </w:r>
    </w:p>
    <w:p w14:paraId="638E79CE" w14:textId="77777777" w:rsidR="00BE0998" w:rsidRPr="008E62FD" w:rsidRDefault="00BE0998" w:rsidP="002E0A2C">
      <w:pPr>
        <w:pStyle w:val="Bullet1"/>
        <w:numPr>
          <w:ilvl w:val="0"/>
          <w:numId w:val="15"/>
        </w:numPr>
        <w:rPr>
          <w:color w:val="auto"/>
          <w:sz w:val="22"/>
        </w:rPr>
      </w:pPr>
      <w:r w:rsidRPr="008E62FD">
        <w:rPr>
          <w:color w:val="auto"/>
          <w:sz w:val="22"/>
        </w:rPr>
        <w:t>providing an opportunity for the participant to observe an employee in the workplace and encourage them to ask questions</w:t>
      </w:r>
    </w:p>
    <w:p w14:paraId="6BE3D0AA" w14:textId="77777777" w:rsidR="00BE0998" w:rsidRPr="008E62FD" w:rsidRDefault="00BE0998" w:rsidP="002E0A2C">
      <w:pPr>
        <w:pStyle w:val="Bullet1"/>
        <w:numPr>
          <w:ilvl w:val="0"/>
          <w:numId w:val="15"/>
        </w:numPr>
        <w:rPr>
          <w:color w:val="auto"/>
          <w:sz w:val="22"/>
        </w:rPr>
      </w:pPr>
      <w:r w:rsidRPr="008E62FD">
        <w:rPr>
          <w:color w:val="auto"/>
          <w:sz w:val="22"/>
        </w:rPr>
        <w:t>having employees share their career path and experiences with the participant. For example, how long they have worked at the organisation, their skills and qualifications, possible career paths within the organisation, the benefits of working at the organisation</w:t>
      </w:r>
    </w:p>
    <w:p w14:paraId="1DC8FB20" w14:textId="77777777" w:rsidR="00BE0998" w:rsidRPr="008E62FD" w:rsidRDefault="00BE0998" w:rsidP="002E0A2C">
      <w:pPr>
        <w:pStyle w:val="Bullet1"/>
        <w:numPr>
          <w:ilvl w:val="0"/>
          <w:numId w:val="15"/>
        </w:numPr>
        <w:rPr>
          <w:color w:val="auto"/>
          <w:sz w:val="22"/>
        </w:rPr>
      </w:pPr>
      <w:r w:rsidRPr="008E62FD">
        <w:rPr>
          <w:color w:val="auto"/>
          <w:sz w:val="22"/>
        </w:rPr>
        <w:t>discussing the participant’s career interests, experience and goals</w:t>
      </w:r>
    </w:p>
    <w:p w14:paraId="4256CDB8" w14:textId="77777777" w:rsidR="00BE0998" w:rsidRPr="008E62FD" w:rsidRDefault="00BE0998" w:rsidP="002E0A2C">
      <w:pPr>
        <w:pStyle w:val="Bullet1"/>
        <w:numPr>
          <w:ilvl w:val="0"/>
          <w:numId w:val="15"/>
        </w:numPr>
        <w:rPr>
          <w:color w:val="auto"/>
          <w:sz w:val="22"/>
        </w:rPr>
      </w:pPr>
      <w:r w:rsidRPr="008E62FD">
        <w:rPr>
          <w:rFonts w:eastAsia="Times New Roman"/>
          <w:color w:val="auto"/>
          <w:sz w:val="22"/>
        </w:rPr>
        <w:t>scheduled check points throughout the day so the participant can ask questions or ask clarification on what they’ve experienced so far</w:t>
      </w:r>
    </w:p>
    <w:p w14:paraId="171EF68B" w14:textId="77777777" w:rsidR="00BE0998" w:rsidRPr="008E62FD" w:rsidRDefault="00BE0998" w:rsidP="002E0A2C">
      <w:pPr>
        <w:pStyle w:val="Bullet1"/>
        <w:numPr>
          <w:ilvl w:val="0"/>
          <w:numId w:val="15"/>
        </w:numPr>
        <w:rPr>
          <w:color w:val="auto"/>
          <w:sz w:val="22"/>
        </w:rPr>
      </w:pPr>
      <w:r w:rsidRPr="008E62FD">
        <w:rPr>
          <w:color w:val="auto"/>
          <w:sz w:val="22"/>
        </w:rPr>
        <w:t>a reference for the participant to add to their Curriculum Vitae (CV). This is recommended as best practice</w:t>
      </w:r>
    </w:p>
    <w:p w14:paraId="19E4FF26" w14:textId="77777777" w:rsidR="00BE0998" w:rsidRDefault="00BE0998" w:rsidP="00BE0998"/>
    <w:p w14:paraId="011D27AE" w14:textId="77777777" w:rsidR="00BE0998" w:rsidRDefault="00BE0998" w:rsidP="00BE0998">
      <w:r w:rsidRPr="007E67F8">
        <w:t>If the participant uses a wheelchair or walking aids, or has a hearing or sight impairment, it may be necessary to make some reasonable adjustments. Your role will be to advise the employer on simple accommodations, such as ensuring the corridor is clear of obstacles, and using wheelchair accessible offices and meeting rooms.</w:t>
      </w:r>
    </w:p>
    <w:p w14:paraId="5687EDA4" w14:textId="77777777" w:rsidR="00BE0998" w:rsidRPr="007E67F8" w:rsidRDefault="00BE0998" w:rsidP="00BE0998"/>
    <w:p w14:paraId="37B48598" w14:textId="77777777" w:rsidR="00BE0998" w:rsidRDefault="00BE0998" w:rsidP="00BE0998">
      <w:r>
        <w:t xml:space="preserve">It is important </w:t>
      </w:r>
      <w:r w:rsidRPr="007E67F8">
        <w:t xml:space="preserve">that the </w:t>
      </w:r>
      <w:r>
        <w:t>participant has access</w:t>
      </w:r>
      <w:r w:rsidRPr="007E67F8">
        <w:t xml:space="preserve"> to breaks during the day similar to those taken by other employees in the workplace, or as they need and agree with the employer.</w:t>
      </w:r>
    </w:p>
    <w:p w14:paraId="2375F56E" w14:textId="77777777" w:rsidR="00BE0998" w:rsidRDefault="00BE0998" w:rsidP="00BE0998">
      <w:pPr>
        <w:pStyle w:val="Heading3"/>
      </w:pPr>
      <w:bookmarkStart w:id="31" w:name="_Toc515973952"/>
      <w:bookmarkStart w:id="32" w:name="_Toc524616551"/>
      <w:r>
        <w:t>Preparation for participants</w:t>
      </w:r>
      <w:bookmarkEnd w:id="31"/>
      <w:bookmarkEnd w:id="32"/>
    </w:p>
    <w:p w14:paraId="7F55554C" w14:textId="77777777" w:rsidR="00BE0998" w:rsidRDefault="00BE0998" w:rsidP="00BE0998">
      <w:r>
        <w:t xml:space="preserve">According to clause 96.2 of the Grant, “the Provider </w:t>
      </w:r>
      <w:r w:rsidRPr="00E37901">
        <w:t>must provide AccessAbility Day Services in accordance with this Agreement and any Guidelines</w:t>
      </w:r>
      <w:r>
        <w:t>”</w:t>
      </w:r>
      <w:r w:rsidRPr="00E37901">
        <w:t>.</w:t>
      </w:r>
      <w:r>
        <w:t xml:space="preserve"> It is expected that DES providers prepare participants and manage participant expectations.</w:t>
      </w:r>
    </w:p>
    <w:p w14:paraId="07B64ABC" w14:textId="77777777" w:rsidR="00BE0998" w:rsidRDefault="00BE0998" w:rsidP="00BE0998">
      <w:r>
        <w:lastRenderedPageBreak/>
        <w:t xml:space="preserve"> </w:t>
      </w:r>
    </w:p>
    <w:p w14:paraId="775DC72A" w14:textId="77777777" w:rsidR="00BE0998" w:rsidRDefault="00BE0998" w:rsidP="00BE0998">
      <w:r>
        <w:t>AccessAbility Day is an opportunity for participants to try out an industry of their interest or to see their own capabilities in a work place. You should work with the participant to identify their interests.</w:t>
      </w:r>
    </w:p>
    <w:p w14:paraId="63AE914A" w14:textId="77777777" w:rsidR="00BE0998" w:rsidRDefault="00BE0998" w:rsidP="00BE0998"/>
    <w:p w14:paraId="3B08A79D" w14:textId="77777777" w:rsidR="00BE0998" w:rsidRDefault="00BE0998" w:rsidP="00BE0998">
      <w:r>
        <w:t>For some participants, it will be their first opportunity to ‘showcase’ their skills in a work environment. Others may be looking at re-entering a field after time off work. Others may be looking at a career change, or re-training and want to dip their toes in before they commit to a new career. Everyone’s motivations will be different and AccessAbility Day gives you the flexibility to organise placements that best suit individual needs.</w:t>
      </w:r>
    </w:p>
    <w:p w14:paraId="561302CF" w14:textId="77777777" w:rsidR="00BE0998" w:rsidRDefault="00BE0998" w:rsidP="00BE0998"/>
    <w:p w14:paraId="325F91B2" w14:textId="77777777" w:rsidR="00BE0998" w:rsidRDefault="00BE0998" w:rsidP="00BE0998">
      <w:r>
        <w:t>With this in mind, it should be made clear to participants that AccessAbility Day is a one day commitment to experience a workplace and is not linked to employment. The intent of the Day should be clearly explained to the participant so they understand that AccessAbility Day is not work experience or a job interview. If this does not meet the participants’ needs, you may like to refer them to other programs (see Alternative Programs section on page 1</w:t>
      </w:r>
      <w:r w:rsidR="00FD0486">
        <w:t>5</w:t>
      </w:r>
      <w:r>
        <w:t xml:space="preserve"> in this guide).</w:t>
      </w:r>
    </w:p>
    <w:p w14:paraId="176532FB" w14:textId="77777777" w:rsidR="00F65426" w:rsidRDefault="00F65426" w:rsidP="00BE0998"/>
    <w:p w14:paraId="20618E71" w14:textId="77777777" w:rsidR="00BE0998" w:rsidRPr="00BE0998" w:rsidRDefault="00BE0998" w:rsidP="006B4AFD">
      <w:r w:rsidRPr="00BE0998">
        <w:t>Employers may consider writing an employer reference for the participant to add to their Curriculum Vitae (CV). This is recommended as best practice.</w:t>
      </w:r>
    </w:p>
    <w:p w14:paraId="59A254EC" w14:textId="77777777" w:rsidR="00BE0998" w:rsidRDefault="00BE0998" w:rsidP="00BE0998">
      <w:pPr>
        <w:pStyle w:val="Heading3"/>
      </w:pPr>
      <w:bookmarkStart w:id="33" w:name="_Toc515973953"/>
      <w:bookmarkStart w:id="34" w:name="_Toc524616552"/>
      <w:r>
        <w:t>Preparation for employers</w:t>
      </w:r>
      <w:bookmarkEnd w:id="33"/>
      <w:bookmarkEnd w:id="34"/>
    </w:p>
    <w:p w14:paraId="43A0D3B3" w14:textId="77777777" w:rsidR="00BE0998" w:rsidRDefault="00BE0998" w:rsidP="00BE0998">
      <w:r>
        <w:t xml:space="preserve">Employers will require DES providers to confirm participant details for matched placements including; </w:t>
      </w:r>
    </w:p>
    <w:p w14:paraId="0BE65E6F" w14:textId="77777777" w:rsidR="00BE0998" w:rsidRPr="008E62FD" w:rsidRDefault="00BE0998" w:rsidP="002E0A2C">
      <w:pPr>
        <w:pStyle w:val="Bullet1"/>
        <w:numPr>
          <w:ilvl w:val="0"/>
          <w:numId w:val="16"/>
        </w:numPr>
        <w:rPr>
          <w:color w:val="auto"/>
          <w:sz w:val="22"/>
        </w:rPr>
      </w:pPr>
      <w:r w:rsidRPr="008E62FD">
        <w:rPr>
          <w:color w:val="auto"/>
          <w:sz w:val="22"/>
        </w:rPr>
        <w:t>name</w:t>
      </w:r>
    </w:p>
    <w:p w14:paraId="1FC18B16" w14:textId="77777777" w:rsidR="00BE0998" w:rsidRPr="008E62FD" w:rsidRDefault="00BE0998" w:rsidP="002E0A2C">
      <w:pPr>
        <w:pStyle w:val="Bullet1"/>
        <w:numPr>
          <w:ilvl w:val="0"/>
          <w:numId w:val="16"/>
        </w:numPr>
        <w:rPr>
          <w:color w:val="auto"/>
          <w:sz w:val="22"/>
        </w:rPr>
      </w:pPr>
      <w:r w:rsidRPr="008E62FD">
        <w:rPr>
          <w:color w:val="auto"/>
          <w:sz w:val="22"/>
        </w:rPr>
        <w:t>the participant’s interests and career motivations</w:t>
      </w:r>
    </w:p>
    <w:p w14:paraId="5F019EC3" w14:textId="77777777" w:rsidR="00BE0998" w:rsidRPr="008E62FD" w:rsidRDefault="00BE0998" w:rsidP="002E0A2C">
      <w:pPr>
        <w:pStyle w:val="Bullet1"/>
        <w:numPr>
          <w:ilvl w:val="0"/>
          <w:numId w:val="16"/>
        </w:numPr>
        <w:rPr>
          <w:color w:val="auto"/>
          <w:sz w:val="22"/>
        </w:rPr>
      </w:pPr>
      <w:r w:rsidRPr="008E62FD">
        <w:rPr>
          <w:color w:val="auto"/>
          <w:sz w:val="22"/>
        </w:rPr>
        <w:t>any workplace adjustments employers can make taking in to account the individual and their specific disability accessibility requirements. Please note funding for workplace modifications is not included in AccessAbility Day and modifications are not expected to be funded by the employer</w:t>
      </w:r>
    </w:p>
    <w:p w14:paraId="5C347B86" w14:textId="77777777" w:rsidR="00BE0998" w:rsidRDefault="00BE0998" w:rsidP="00BE0998">
      <w:pPr>
        <w:pStyle w:val="Bullet1"/>
      </w:pPr>
    </w:p>
    <w:p w14:paraId="6473B7F7" w14:textId="77777777" w:rsidR="00BE0998" w:rsidRDefault="00BE0998" w:rsidP="00BE0998">
      <w:r w:rsidRPr="00BE0998">
        <w:t>Ensure that regular communication with AccessAbility host employers is maintained so that they feel confident on what they can expect.</w:t>
      </w:r>
    </w:p>
    <w:p w14:paraId="46657B56" w14:textId="77777777" w:rsidR="00BE0998" w:rsidRDefault="00BE0998" w:rsidP="00BE0998"/>
    <w:p w14:paraId="3E396EB4" w14:textId="77777777" w:rsidR="00BE0998" w:rsidRDefault="00BE0998" w:rsidP="00BE0998">
      <w:r w:rsidRPr="00BE0998">
        <w:t>Contacting employers in the week before AccessAbility Day will reassure them and let you confirm any last minute details.</w:t>
      </w:r>
    </w:p>
    <w:p w14:paraId="3C58CEC6" w14:textId="77777777" w:rsidR="00BE0998" w:rsidRPr="00BE0998" w:rsidRDefault="00BE0998" w:rsidP="00BE0998"/>
    <w:p w14:paraId="36016489" w14:textId="77777777" w:rsidR="00BE0998" w:rsidRDefault="00BE0998" w:rsidP="00BE0998">
      <w:r w:rsidRPr="00BE0998">
        <w:t>If you have been matched with a new employer by JobAccess, make sure you contact them as soon as possible to organise the placement.</w:t>
      </w:r>
    </w:p>
    <w:p w14:paraId="6E7AB71B" w14:textId="77777777" w:rsidR="00BE0998" w:rsidRPr="00BE0998" w:rsidRDefault="00BE0998" w:rsidP="00BE0998"/>
    <w:p w14:paraId="74CF70C1" w14:textId="77777777" w:rsidR="00BE0998" w:rsidRDefault="00BE0998" w:rsidP="00BE0998">
      <w:r w:rsidRPr="00BE0998">
        <w:t>Both DES providers and employers can contact the AccessAbility Hotline with any questions. The AccessAbility Day Hotline can provide support on working with people with disability and advise on any simple modifications that employers could consider making to facilitate AccessAbility Day.</w:t>
      </w:r>
    </w:p>
    <w:p w14:paraId="55259652" w14:textId="77777777" w:rsidR="00515A6A" w:rsidRDefault="00515A6A">
      <w:pPr>
        <w:rPr>
          <w:b/>
          <w:sz w:val="24"/>
        </w:rPr>
      </w:pPr>
      <w:bookmarkStart w:id="35" w:name="_Toc515973954"/>
      <w:r>
        <w:br w:type="page"/>
      </w:r>
    </w:p>
    <w:p w14:paraId="1E04AB85" w14:textId="77777777" w:rsidR="00BE0998" w:rsidRDefault="00BE0998" w:rsidP="00BE0998">
      <w:pPr>
        <w:pStyle w:val="Heading3"/>
      </w:pPr>
      <w:bookmarkStart w:id="36" w:name="_Toc524616553"/>
      <w:r>
        <w:lastRenderedPageBreak/>
        <w:t>Employment Assistance Fund – Auslan assistance</w:t>
      </w:r>
      <w:bookmarkEnd w:id="35"/>
      <w:bookmarkEnd w:id="36"/>
    </w:p>
    <w:p w14:paraId="3434DE17" w14:textId="77777777" w:rsidR="00BE0998" w:rsidRDefault="00BE0998" w:rsidP="00BE0998">
      <w:r w:rsidRPr="00332987">
        <w:t xml:space="preserve">The </w:t>
      </w:r>
      <w:r>
        <w:t>Employment Assistance fund (</w:t>
      </w:r>
      <w:r w:rsidRPr="00332987">
        <w:t>EAF</w:t>
      </w:r>
      <w:r>
        <w:t>)</w:t>
      </w:r>
      <w:r w:rsidRPr="00332987">
        <w:t xml:space="preserve"> gives financial help to eligible people with disability and mental health condition and employers to buy work related modifications and services. The EAF is available to people with disability who are about to start a job or who are currently working, as well as people who need help to find and prepare for a job</w:t>
      </w:r>
      <w:r>
        <w:t>.</w:t>
      </w:r>
    </w:p>
    <w:p w14:paraId="6B38EAD9" w14:textId="77777777" w:rsidR="00BE0998" w:rsidRDefault="00BE0998" w:rsidP="00BE0998"/>
    <w:p w14:paraId="01968684" w14:textId="77777777" w:rsidR="00BE0998" w:rsidRDefault="00BE0998" w:rsidP="00BE0998">
      <w:r>
        <w:t xml:space="preserve">For AccessAbility Day, participants who </w:t>
      </w:r>
      <w:r w:rsidRPr="00332987">
        <w:t>are deaf or have a hearing impairment</w:t>
      </w:r>
      <w:r>
        <w:t xml:space="preserve"> </w:t>
      </w:r>
      <w:r w:rsidRPr="00066427">
        <w:t xml:space="preserve">may be able to access Auslan Level 2 interpreter services. </w:t>
      </w:r>
      <w:r>
        <w:t>Participants may ask you to help them to submit an EAF application. Please ensure that you inform employers when an Auslan interpreter will be accompanying an AccessAbility day participant to a placement.</w:t>
      </w:r>
    </w:p>
    <w:p w14:paraId="06B316DA" w14:textId="77777777" w:rsidR="00BE0998" w:rsidRDefault="00BE0998" w:rsidP="00BE0998"/>
    <w:p w14:paraId="1F8052B6" w14:textId="77777777" w:rsidR="00BE0998" w:rsidRDefault="00BE0998" w:rsidP="00BE0998">
      <w:r>
        <w:t xml:space="preserve">Further Information is available on the </w:t>
      </w:r>
      <w:hyperlink r:id="rId17" w:history="1">
        <w:r w:rsidRPr="00D46CDB">
          <w:rPr>
            <w:rStyle w:val="Hyperlink"/>
            <w:rFonts w:cstheme="minorBidi"/>
          </w:rPr>
          <w:t>JobAccess website</w:t>
        </w:r>
      </w:hyperlink>
      <w:r w:rsidR="00223B64">
        <w:t>.</w:t>
      </w:r>
    </w:p>
    <w:p w14:paraId="18F1C0DC" w14:textId="77777777" w:rsidR="00BE0998" w:rsidRDefault="00BE0998" w:rsidP="00BE0998">
      <w:pPr>
        <w:pStyle w:val="Heading3"/>
      </w:pPr>
      <w:bookmarkStart w:id="37" w:name="_Toc515973955"/>
      <w:bookmarkStart w:id="38" w:name="_Toc524616554"/>
      <w:r>
        <w:t>Promotion</w:t>
      </w:r>
      <w:bookmarkEnd w:id="37"/>
      <w:bookmarkEnd w:id="38"/>
    </w:p>
    <w:p w14:paraId="0D80849D" w14:textId="77777777" w:rsidR="00BE0998" w:rsidRDefault="00BE0998" w:rsidP="00BE0998">
      <w:r>
        <w:t>As per clause 96.3 of the Grant “t</w:t>
      </w:r>
      <w:r w:rsidRPr="00AB40C4">
        <w:t>he Provider must use its best endeavours to promote AccessAbility Day to its Customers</w:t>
      </w:r>
      <w:r>
        <w:t>”.</w:t>
      </w:r>
    </w:p>
    <w:p w14:paraId="166C3E36" w14:textId="77777777" w:rsidR="00BE0998" w:rsidRDefault="00BE0998" w:rsidP="00BE0998"/>
    <w:p w14:paraId="519B5E2B" w14:textId="77777777" w:rsidR="00BE0998" w:rsidRDefault="00BE0998" w:rsidP="00BE0998">
      <w:r>
        <w:t xml:space="preserve">There are a variety of resources available on the </w:t>
      </w:r>
      <w:hyperlink r:id="rId18" w:history="1">
        <w:r w:rsidRPr="00223B64">
          <w:rPr>
            <w:rStyle w:val="Hyperlink"/>
          </w:rPr>
          <w:t>AccessAbility Day website</w:t>
        </w:r>
      </w:hyperlink>
      <w:r>
        <w:t xml:space="preserve"> to help you promote the Day. These include posters, an information factsheet for jobseekers with disability  a web badge, email signature banner, suggested newsletter content, and social media images.</w:t>
      </w:r>
    </w:p>
    <w:p w14:paraId="507870D3" w14:textId="77777777" w:rsidR="00BE0998" w:rsidRDefault="00BE0998" w:rsidP="00BE0998"/>
    <w:p w14:paraId="378D1EAD" w14:textId="77777777" w:rsidR="00BE0998" w:rsidRDefault="00BE0998" w:rsidP="00BE0998">
      <w:r>
        <w:t>You could:</w:t>
      </w:r>
    </w:p>
    <w:p w14:paraId="3BDEAC63" w14:textId="77777777" w:rsidR="00BE0998" w:rsidRPr="008E62FD" w:rsidRDefault="00BE0998" w:rsidP="002E0A2C">
      <w:pPr>
        <w:pStyle w:val="Bullet1"/>
        <w:numPr>
          <w:ilvl w:val="0"/>
          <w:numId w:val="17"/>
        </w:numPr>
        <w:rPr>
          <w:color w:val="auto"/>
          <w:sz w:val="22"/>
        </w:rPr>
      </w:pPr>
      <w:r w:rsidRPr="008E62FD">
        <w:rPr>
          <w:color w:val="auto"/>
          <w:sz w:val="22"/>
        </w:rPr>
        <w:t>hang posters around the office</w:t>
      </w:r>
    </w:p>
    <w:p w14:paraId="68882E20" w14:textId="77777777" w:rsidR="00BE0998" w:rsidRPr="008E62FD" w:rsidRDefault="00BE0998" w:rsidP="002E0A2C">
      <w:pPr>
        <w:pStyle w:val="Bullet1"/>
        <w:numPr>
          <w:ilvl w:val="0"/>
          <w:numId w:val="17"/>
        </w:numPr>
        <w:rPr>
          <w:color w:val="auto"/>
          <w:sz w:val="22"/>
        </w:rPr>
      </w:pPr>
      <w:r w:rsidRPr="008E62FD">
        <w:rPr>
          <w:color w:val="auto"/>
          <w:sz w:val="22"/>
        </w:rPr>
        <w:t>add a web badge to your email signature</w:t>
      </w:r>
    </w:p>
    <w:p w14:paraId="4B5E6B80" w14:textId="77777777" w:rsidR="00BE0998" w:rsidRPr="008E62FD" w:rsidRDefault="00BE0998" w:rsidP="002E0A2C">
      <w:pPr>
        <w:pStyle w:val="Bullet1"/>
        <w:numPr>
          <w:ilvl w:val="0"/>
          <w:numId w:val="17"/>
        </w:numPr>
        <w:rPr>
          <w:color w:val="auto"/>
          <w:sz w:val="22"/>
        </w:rPr>
      </w:pPr>
      <w:r w:rsidRPr="008E62FD">
        <w:rPr>
          <w:color w:val="auto"/>
          <w:sz w:val="22"/>
        </w:rPr>
        <w:t>include AccessAbility Day in your next newsletter</w:t>
      </w:r>
    </w:p>
    <w:p w14:paraId="004EDA3B" w14:textId="77777777" w:rsidR="00BE0998" w:rsidRPr="008E62FD" w:rsidRDefault="00BE0998" w:rsidP="002E0A2C">
      <w:pPr>
        <w:pStyle w:val="Bullet1"/>
        <w:numPr>
          <w:ilvl w:val="0"/>
          <w:numId w:val="17"/>
        </w:numPr>
        <w:rPr>
          <w:color w:val="auto"/>
          <w:sz w:val="22"/>
        </w:rPr>
      </w:pPr>
      <w:r w:rsidRPr="008E62FD">
        <w:rPr>
          <w:color w:val="auto"/>
          <w:sz w:val="22"/>
        </w:rPr>
        <w:t>use the hashtag #AccessAbilityDay.</w:t>
      </w:r>
    </w:p>
    <w:p w14:paraId="6C16BCE8" w14:textId="77777777" w:rsidR="00BE0998" w:rsidRDefault="00BE0998" w:rsidP="00BE0998"/>
    <w:p w14:paraId="3F5A0851" w14:textId="77777777" w:rsidR="00BE0998" w:rsidRDefault="00BE0998" w:rsidP="00BE0998">
      <w:r>
        <w:t xml:space="preserve">You should seek written and informed </w:t>
      </w:r>
      <w:r w:rsidRPr="00824EF0">
        <w:t xml:space="preserve">consent before photographing </w:t>
      </w:r>
      <w:r>
        <w:t xml:space="preserve">or videoing </w:t>
      </w:r>
      <w:r w:rsidRPr="00824EF0">
        <w:t>anyone involved in AccessAbility Day.</w:t>
      </w:r>
    </w:p>
    <w:p w14:paraId="7BFDF333" w14:textId="77777777" w:rsidR="00BE0998" w:rsidRDefault="00BE0998" w:rsidP="00BE0998">
      <w:pPr>
        <w:pStyle w:val="Heading3"/>
      </w:pPr>
      <w:bookmarkStart w:id="39" w:name="_Toc515973956"/>
      <w:bookmarkStart w:id="40" w:name="_Toc524616555"/>
      <w:r>
        <w:t>After AccessAbility Day</w:t>
      </w:r>
      <w:bookmarkEnd w:id="39"/>
      <w:bookmarkEnd w:id="40"/>
    </w:p>
    <w:p w14:paraId="5867DB52" w14:textId="77777777" w:rsidR="00BE0998" w:rsidRDefault="00BE0998" w:rsidP="00BE0998">
      <w:r>
        <w:t xml:space="preserve">It may be a good opportunity to speak with the participant after AccessAbility Day </w:t>
      </w:r>
      <w:r w:rsidRPr="002039BD">
        <w:t xml:space="preserve">to better understand </w:t>
      </w:r>
      <w:r>
        <w:t>their</w:t>
      </w:r>
      <w:r w:rsidRPr="002039BD">
        <w:t xml:space="preserve"> job search interests and </w:t>
      </w:r>
      <w:r>
        <w:t>t</w:t>
      </w:r>
      <w:r w:rsidRPr="002039BD">
        <w:t xml:space="preserve">o better personalise </w:t>
      </w:r>
      <w:r>
        <w:t>their</w:t>
      </w:r>
      <w:r w:rsidRPr="002039BD">
        <w:t xml:space="preserve"> job search acti</w:t>
      </w:r>
      <w:r>
        <w:t>vities or future job placements.</w:t>
      </w:r>
    </w:p>
    <w:p w14:paraId="2355B2EE" w14:textId="77777777" w:rsidR="00BE0998" w:rsidRDefault="00BE0998" w:rsidP="00BE0998">
      <w:r>
        <w:t xml:space="preserve"> </w:t>
      </w:r>
    </w:p>
    <w:p w14:paraId="29BE1BA5" w14:textId="77777777" w:rsidR="00BE0998" w:rsidRDefault="00BE0998" w:rsidP="00BE0998">
      <w:r>
        <w:t>You may like to help participants reflect on their experience. Here are some of the types of questions you may like to ask participants to help facilitate the discussion;</w:t>
      </w:r>
    </w:p>
    <w:p w14:paraId="7D3751D8" w14:textId="77777777" w:rsidR="00BE0998" w:rsidRPr="008E62FD" w:rsidRDefault="00BE0998" w:rsidP="002E0A2C">
      <w:pPr>
        <w:pStyle w:val="Bullet1"/>
        <w:numPr>
          <w:ilvl w:val="0"/>
          <w:numId w:val="17"/>
        </w:numPr>
        <w:rPr>
          <w:color w:val="auto"/>
          <w:sz w:val="22"/>
        </w:rPr>
      </w:pPr>
      <w:r w:rsidRPr="008E62FD">
        <w:rPr>
          <w:color w:val="auto"/>
          <w:sz w:val="22"/>
        </w:rPr>
        <w:t xml:space="preserve">was this role a good fit for you? Why or why not? </w:t>
      </w:r>
    </w:p>
    <w:p w14:paraId="4E4BC18E" w14:textId="77777777" w:rsidR="00BE0998" w:rsidRPr="008E62FD" w:rsidRDefault="00BE0998" w:rsidP="002E0A2C">
      <w:pPr>
        <w:pStyle w:val="Bullet1"/>
        <w:numPr>
          <w:ilvl w:val="0"/>
          <w:numId w:val="17"/>
        </w:numPr>
        <w:rPr>
          <w:color w:val="auto"/>
          <w:sz w:val="22"/>
        </w:rPr>
      </w:pPr>
      <w:r w:rsidRPr="008E62FD">
        <w:rPr>
          <w:color w:val="auto"/>
          <w:sz w:val="22"/>
        </w:rPr>
        <w:t>what did you like best about the role?</w:t>
      </w:r>
    </w:p>
    <w:p w14:paraId="4B4D489D" w14:textId="77777777" w:rsidR="00BE0998" w:rsidRPr="008E62FD" w:rsidRDefault="00BE0998" w:rsidP="002E0A2C">
      <w:pPr>
        <w:pStyle w:val="Bullet1"/>
        <w:numPr>
          <w:ilvl w:val="0"/>
          <w:numId w:val="17"/>
        </w:numPr>
        <w:rPr>
          <w:color w:val="auto"/>
          <w:sz w:val="22"/>
        </w:rPr>
      </w:pPr>
      <w:r w:rsidRPr="008E62FD">
        <w:rPr>
          <w:color w:val="auto"/>
          <w:sz w:val="22"/>
        </w:rPr>
        <w:t>what did you like least about the role?</w:t>
      </w:r>
    </w:p>
    <w:p w14:paraId="6EE79BAE" w14:textId="77777777" w:rsidR="00BE0998" w:rsidRPr="008E62FD" w:rsidRDefault="00BE0998" w:rsidP="002E0A2C">
      <w:pPr>
        <w:pStyle w:val="Bullet1"/>
        <w:numPr>
          <w:ilvl w:val="0"/>
          <w:numId w:val="17"/>
        </w:numPr>
        <w:rPr>
          <w:color w:val="auto"/>
          <w:sz w:val="22"/>
        </w:rPr>
      </w:pPr>
      <w:r w:rsidRPr="008E62FD">
        <w:rPr>
          <w:color w:val="auto"/>
          <w:sz w:val="22"/>
        </w:rPr>
        <w:t>did you enjoy the company culture?</w:t>
      </w:r>
    </w:p>
    <w:p w14:paraId="464C4A96" w14:textId="77777777" w:rsidR="00BE0998" w:rsidRPr="008E62FD" w:rsidRDefault="00BE0998" w:rsidP="002E0A2C">
      <w:pPr>
        <w:pStyle w:val="Bullet1"/>
        <w:numPr>
          <w:ilvl w:val="0"/>
          <w:numId w:val="17"/>
        </w:numPr>
        <w:rPr>
          <w:color w:val="auto"/>
          <w:sz w:val="22"/>
        </w:rPr>
      </w:pPr>
      <w:r w:rsidRPr="008E62FD">
        <w:rPr>
          <w:color w:val="auto"/>
          <w:sz w:val="22"/>
        </w:rPr>
        <w:t>do you need to take a course and gain some qualifications to do well in this role?</w:t>
      </w:r>
    </w:p>
    <w:p w14:paraId="77D63761" w14:textId="77777777" w:rsidR="00BE0998" w:rsidRPr="008E62FD" w:rsidRDefault="00BE0998" w:rsidP="002E0A2C">
      <w:pPr>
        <w:pStyle w:val="Bullet1"/>
        <w:numPr>
          <w:ilvl w:val="0"/>
          <w:numId w:val="17"/>
        </w:numPr>
        <w:rPr>
          <w:color w:val="auto"/>
          <w:sz w:val="22"/>
        </w:rPr>
      </w:pPr>
      <w:r w:rsidRPr="008E62FD">
        <w:rPr>
          <w:color w:val="auto"/>
          <w:sz w:val="22"/>
        </w:rPr>
        <w:lastRenderedPageBreak/>
        <w:t>was the workplace flexible with any special requirements you had?</w:t>
      </w:r>
    </w:p>
    <w:p w14:paraId="70176ABD" w14:textId="77777777" w:rsidR="001A5DA1" w:rsidRDefault="001A5DA1">
      <w:pPr>
        <w:rPr>
          <w:b/>
          <w:sz w:val="24"/>
        </w:rPr>
      </w:pPr>
      <w:bookmarkStart w:id="41" w:name="_Toc515973957"/>
    </w:p>
    <w:p w14:paraId="4D66C115" w14:textId="77777777" w:rsidR="00BE0998" w:rsidRDefault="00BE0998" w:rsidP="00BE0998">
      <w:pPr>
        <w:pStyle w:val="Heading3"/>
      </w:pPr>
      <w:bookmarkStart w:id="42" w:name="_Toc524616556"/>
      <w:r>
        <w:t>Insurance and risk</w:t>
      </w:r>
      <w:bookmarkEnd w:id="41"/>
      <w:bookmarkEnd w:id="42"/>
    </w:p>
    <w:p w14:paraId="7A0A162C" w14:textId="77777777" w:rsidR="00BE0998" w:rsidRPr="008D0C8A" w:rsidRDefault="00BE0998" w:rsidP="00BE0998">
      <w:pPr>
        <w:pStyle w:val="Heading4"/>
      </w:pPr>
      <w:bookmarkStart w:id="43" w:name="_Toc515973958"/>
      <w:r w:rsidRPr="008D0C8A">
        <w:t>Insurance</w:t>
      </w:r>
      <w:bookmarkEnd w:id="43"/>
    </w:p>
    <w:p w14:paraId="70018420" w14:textId="77777777" w:rsidR="00BE0998" w:rsidRDefault="00BE0998" w:rsidP="00BE0998">
      <w:r>
        <w:t xml:space="preserve">As per clause 96.6 of the Grant, DES providers are required to “ … </w:t>
      </w:r>
      <w:r w:rsidRPr="00212B3B">
        <w:t>maintain adequate insurance coverage that is appropriate for each AccessAbility Day Placement, having regard to the particular nature of each Ac</w:t>
      </w:r>
      <w:r>
        <w:t xml:space="preserve">cessAbility Day Placement; and ensure that each employer hosting a participant </w:t>
      </w:r>
      <w:r w:rsidRPr="00212B3B">
        <w:t>effects and maintains adequate insurance coverage that is appropriate for e</w:t>
      </w:r>
      <w:r>
        <w:t>ach AccessAbility Day Placement”.</w:t>
      </w:r>
    </w:p>
    <w:p w14:paraId="0536C06E" w14:textId="77777777" w:rsidR="00BE0998" w:rsidRDefault="00BE0998" w:rsidP="00BE0998"/>
    <w:p w14:paraId="2080F8BB" w14:textId="77777777" w:rsidR="00BE0998" w:rsidRDefault="00BE0998" w:rsidP="00BE0998">
      <w:r w:rsidRPr="00270F20">
        <w:t xml:space="preserve">The Department of Social Services purchases personal accident insurance and combined public and or product liability insurance to cover participants undertaking Activities, including </w:t>
      </w:r>
      <w:r>
        <w:t>AccessAbility Day placements</w:t>
      </w:r>
      <w:r w:rsidRPr="00270F20">
        <w:t xml:space="preserve"> </w:t>
      </w:r>
      <w:r w:rsidRPr="00173351">
        <w:rPr>
          <w:iCs/>
        </w:rPr>
        <w:t>(for example travel to and from the location)</w:t>
      </w:r>
      <w:r w:rsidRPr="00F2191B">
        <w:t>.</w:t>
      </w:r>
      <w:r w:rsidRPr="00270F20">
        <w:t xml:space="preserve"> </w:t>
      </w:r>
    </w:p>
    <w:p w14:paraId="0ED2DD54" w14:textId="77777777" w:rsidR="00BE0998" w:rsidRDefault="00BE0998" w:rsidP="00BE0998">
      <w:r>
        <w:t>DES providers have the following responsibilities:</w:t>
      </w:r>
    </w:p>
    <w:p w14:paraId="4A818641" w14:textId="77777777" w:rsidR="00BE0998" w:rsidRPr="008E62FD" w:rsidRDefault="00BE0998" w:rsidP="002E0A2C">
      <w:pPr>
        <w:pStyle w:val="Bullet1"/>
        <w:numPr>
          <w:ilvl w:val="0"/>
          <w:numId w:val="17"/>
        </w:numPr>
        <w:rPr>
          <w:color w:val="auto"/>
          <w:sz w:val="22"/>
        </w:rPr>
      </w:pPr>
      <w:r w:rsidRPr="008E62FD">
        <w:rPr>
          <w:color w:val="auto"/>
          <w:sz w:val="22"/>
        </w:rPr>
        <w:t xml:space="preserve">delivering programs that comply with all State and Federal legislation </w:t>
      </w:r>
    </w:p>
    <w:p w14:paraId="660841EE" w14:textId="77777777" w:rsidR="00BE0998" w:rsidRPr="008E62FD" w:rsidRDefault="00BE0998" w:rsidP="002E0A2C">
      <w:pPr>
        <w:pStyle w:val="Bullet1"/>
        <w:numPr>
          <w:ilvl w:val="0"/>
          <w:numId w:val="17"/>
        </w:numPr>
        <w:rPr>
          <w:color w:val="auto"/>
          <w:sz w:val="22"/>
        </w:rPr>
      </w:pPr>
      <w:r w:rsidRPr="008E62FD">
        <w:rPr>
          <w:color w:val="auto"/>
          <w:sz w:val="22"/>
        </w:rPr>
        <w:t>providing all participants with a copy of the ‘Participants Insurance Manual’</w:t>
      </w:r>
    </w:p>
    <w:p w14:paraId="65D62AE4" w14:textId="77777777" w:rsidR="00BE0998" w:rsidRPr="008E62FD" w:rsidRDefault="00BE0998" w:rsidP="002E0A2C">
      <w:pPr>
        <w:pStyle w:val="Bullet1"/>
        <w:numPr>
          <w:ilvl w:val="0"/>
          <w:numId w:val="17"/>
        </w:numPr>
        <w:rPr>
          <w:color w:val="auto"/>
          <w:sz w:val="22"/>
        </w:rPr>
      </w:pPr>
      <w:r w:rsidRPr="008E62FD">
        <w:rPr>
          <w:color w:val="auto"/>
          <w:sz w:val="22"/>
        </w:rPr>
        <w:t>ensuring any incidents that occur are appropriately and correctly reported to the Department of Social Services as soon as practicable</w:t>
      </w:r>
    </w:p>
    <w:p w14:paraId="64384817" w14:textId="77777777" w:rsidR="00BE0998" w:rsidRPr="008E62FD" w:rsidRDefault="00BE0998" w:rsidP="002E0A2C">
      <w:pPr>
        <w:pStyle w:val="Bullet1"/>
        <w:numPr>
          <w:ilvl w:val="0"/>
          <w:numId w:val="17"/>
        </w:numPr>
        <w:rPr>
          <w:color w:val="auto"/>
          <w:sz w:val="22"/>
        </w:rPr>
      </w:pPr>
      <w:r w:rsidRPr="008E62FD">
        <w:rPr>
          <w:color w:val="auto"/>
          <w:sz w:val="22"/>
        </w:rPr>
        <w:t xml:space="preserve">providing assistance to participants in completing claim forms </w:t>
      </w:r>
      <w:r w:rsidR="00B06D54">
        <w:rPr>
          <w:color w:val="auto"/>
          <w:sz w:val="22"/>
        </w:rPr>
        <w:t xml:space="preserve">and </w:t>
      </w:r>
      <w:r w:rsidRPr="008E62FD">
        <w:rPr>
          <w:color w:val="auto"/>
          <w:sz w:val="22"/>
        </w:rPr>
        <w:t xml:space="preserve">if required </w:t>
      </w:r>
      <w:r w:rsidR="00B06D54">
        <w:rPr>
          <w:color w:val="auto"/>
          <w:sz w:val="22"/>
        </w:rPr>
        <w:t>l</w:t>
      </w:r>
      <w:r w:rsidRPr="008E62FD">
        <w:rPr>
          <w:color w:val="auto"/>
          <w:sz w:val="22"/>
        </w:rPr>
        <w:t>iaison, negotiation and placement of the insurances with appropriate insurers.</w:t>
      </w:r>
    </w:p>
    <w:p w14:paraId="5E327D56" w14:textId="77777777" w:rsidR="00BE0998" w:rsidRPr="00BE0998" w:rsidRDefault="00BE0998" w:rsidP="00BE0998">
      <w:pPr>
        <w:pStyle w:val="Bullet1"/>
        <w:rPr>
          <w:color w:val="auto"/>
          <w:sz w:val="22"/>
        </w:rPr>
      </w:pPr>
      <w:r w:rsidRPr="00BE0998">
        <w:rPr>
          <w:b/>
          <w:bCs/>
          <w:color w:val="auto"/>
          <w:sz w:val="22"/>
        </w:rPr>
        <w:t xml:space="preserve">See Insurance Reader’s Guide on the provider portal </w:t>
      </w:r>
      <w:r w:rsidRPr="00BE0998">
        <w:rPr>
          <w:color w:val="auto"/>
          <w:sz w:val="22"/>
        </w:rPr>
        <w:t>for exclusions and reporting requirements</w:t>
      </w:r>
      <w:r w:rsidR="00B06D54">
        <w:rPr>
          <w:color w:val="auto"/>
          <w:sz w:val="22"/>
        </w:rPr>
        <w:t>.</w:t>
      </w:r>
    </w:p>
    <w:p w14:paraId="51FF240F" w14:textId="77777777" w:rsidR="00BE0998" w:rsidRDefault="00BE0998" w:rsidP="00BE0998">
      <w:pPr>
        <w:pStyle w:val="Heading4"/>
      </w:pPr>
      <w:bookmarkStart w:id="44" w:name="_Toc515973959"/>
      <w:r>
        <w:t>Risk Assessment</w:t>
      </w:r>
      <w:bookmarkEnd w:id="44"/>
    </w:p>
    <w:p w14:paraId="441728CB" w14:textId="77777777" w:rsidR="00AB7133" w:rsidRDefault="00BE0998" w:rsidP="00BE0998">
      <w:r>
        <w:t xml:space="preserve">As per clause 96.7 of the Grant, </w:t>
      </w:r>
      <w:r w:rsidRPr="00975EC8">
        <w:t xml:space="preserve">DES </w:t>
      </w:r>
      <w:r>
        <w:t>p</w:t>
      </w:r>
      <w:r w:rsidRPr="00975EC8">
        <w:t>roviders</w:t>
      </w:r>
      <w:r>
        <w:t xml:space="preserve"> “… </w:t>
      </w:r>
      <w:r w:rsidRPr="00975EC8">
        <w:t xml:space="preserve"> must ensure that a comprehensive risk assessment is undertaken of a proposed</w:t>
      </w:r>
      <w:r>
        <w:t xml:space="preserve"> AccessAbility Day</w:t>
      </w:r>
      <w:r w:rsidRPr="00975EC8">
        <w:t xml:space="preserve"> placement</w:t>
      </w:r>
      <w:r>
        <w:t>,</w:t>
      </w:r>
      <w:r w:rsidRPr="00975EC8">
        <w:t xml:space="preserve"> to ensure that the placement is appropriate for the participant.</w:t>
      </w:r>
      <w:r>
        <w:t>”</w:t>
      </w:r>
    </w:p>
    <w:p w14:paraId="4784C950" w14:textId="77777777" w:rsidR="00BE0998" w:rsidRDefault="00BE0998" w:rsidP="00BE0998">
      <w:r w:rsidRPr="00975EC8">
        <w:t xml:space="preserve"> </w:t>
      </w:r>
    </w:p>
    <w:p w14:paraId="4C2BEC89" w14:textId="77777777" w:rsidR="00AB7133" w:rsidRDefault="00BE0998" w:rsidP="00BE0998">
      <w:r>
        <w:t>A risk assessment form for AccessAbil</w:t>
      </w:r>
      <w:r w:rsidR="00FD0486">
        <w:t>ity Day is available on pages 17 to 19</w:t>
      </w:r>
      <w:r>
        <w:t xml:space="preserve"> of this guide.</w:t>
      </w:r>
    </w:p>
    <w:p w14:paraId="4C1E21E1" w14:textId="77777777" w:rsidR="00BE0998" w:rsidRDefault="00BE0998" w:rsidP="00BE0998">
      <w:r>
        <w:t xml:space="preserve"> </w:t>
      </w:r>
    </w:p>
    <w:p w14:paraId="3B0693F9" w14:textId="77777777" w:rsidR="00AB7133" w:rsidRDefault="00BE0998" w:rsidP="00BE0998">
      <w:r w:rsidRPr="00975EC8">
        <w:t xml:space="preserve">Risk assessment forms that are used for other DES placements may be repurposed by </w:t>
      </w:r>
      <w:r>
        <w:t>p</w:t>
      </w:r>
      <w:r w:rsidRPr="00975EC8">
        <w:t>roviders for AccessAbility Day such as the risk assessment form used for the National Work Experience Program (NWEP)</w:t>
      </w:r>
      <w:r>
        <w:t>.</w:t>
      </w:r>
      <w:r w:rsidRPr="00975EC8">
        <w:t xml:space="preserve"> Risk Assessments conducted for AccessAbility Day that are based on a repurposed NWEP Risk Assessment Form, or another template, should remove all references to NWEP or that other placement</w:t>
      </w:r>
      <w:r>
        <w:t xml:space="preserve"> and be replaced with AccessAbility Day</w:t>
      </w:r>
      <w:r w:rsidRPr="00975EC8">
        <w:t>.</w:t>
      </w:r>
    </w:p>
    <w:p w14:paraId="06678C21" w14:textId="77777777" w:rsidR="00BE0998" w:rsidRDefault="00BE0998" w:rsidP="00BE0998">
      <w:r w:rsidRPr="00975EC8">
        <w:t xml:space="preserve"> </w:t>
      </w:r>
    </w:p>
    <w:p w14:paraId="4D778B34" w14:textId="77777777" w:rsidR="00BE0998" w:rsidRDefault="00BE0998" w:rsidP="00BE0998">
      <w:r>
        <w:t>The provider must keep a record of each risk assessment and any action taken in accordance with each risk assessment</w:t>
      </w:r>
      <w:r w:rsidR="00B06D54">
        <w:t>.</w:t>
      </w:r>
      <w:r w:rsidRPr="00975EC8">
        <w:t xml:space="preserve"> </w:t>
      </w:r>
      <w:r>
        <w:t>The provider must provide the relevant records to the Department on request.</w:t>
      </w:r>
    </w:p>
    <w:p w14:paraId="7E243316" w14:textId="77777777" w:rsidR="00AB7133" w:rsidRDefault="00AB7133" w:rsidP="00BE0998"/>
    <w:p w14:paraId="4DC8D418" w14:textId="77777777" w:rsidR="00BE0998" w:rsidRPr="00AB7133" w:rsidRDefault="00BE0998" w:rsidP="00BE0998">
      <w:r w:rsidRPr="009762A7">
        <w:t xml:space="preserve">Providers are able to use the DES National Work Experience Programme (NWEP) for Disability Employment Services Guidelines V2.0 as an indicative framework when completing </w:t>
      </w:r>
      <w:r w:rsidRPr="00AB7133">
        <w:t xml:space="preserve">AccessAbility Day risk assessments. The NWEP Guidelines can be found on the </w:t>
      </w:r>
      <w:hyperlink r:id="rId19" w:history="1">
        <w:r w:rsidRPr="00AB7133">
          <w:rPr>
            <w:rStyle w:val="Hyperlink"/>
            <w:rFonts w:cstheme="minorBidi"/>
            <w:color w:val="auto"/>
          </w:rPr>
          <w:t>Department of Social Services web page</w:t>
        </w:r>
      </w:hyperlink>
      <w:r w:rsidR="00223B64">
        <w:t>.</w:t>
      </w:r>
    </w:p>
    <w:p w14:paraId="2C7D755C" w14:textId="77777777" w:rsidR="001A5DA1" w:rsidRDefault="001A5DA1">
      <w:pPr>
        <w:rPr>
          <w:b/>
          <w:sz w:val="24"/>
        </w:rPr>
      </w:pPr>
      <w:bookmarkStart w:id="45" w:name="_Toc515973960"/>
    </w:p>
    <w:p w14:paraId="640C1FB0" w14:textId="77777777" w:rsidR="00AB7133" w:rsidRDefault="00AB7133" w:rsidP="00AB7133">
      <w:pPr>
        <w:pStyle w:val="Heading3"/>
      </w:pPr>
      <w:bookmarkStart w:id="46" w:name="_Toc524616557"/>
      <w:r>
        <w:lastRenderedPageBreak/>
        <w:t>Privacy disclosure</w:t>
      </w:r>
      <w:bookmarkEnd w:id="45"/>
      <w:bookmarkEnd w:id="46"/>
    </w:p>
    <w:p w14:paraId="402897E7" w14:textId="77777777" w:rsidR="00AB7133" w:rsidRDefault="00AB7133" w:rsidP="00AB7133">
      <w:r>
        <w:t xml:space="preserve">Please refer to </w:t>
      </w:r>
      <w:r w:rsidRPr="005679AE">
        <w:rPr>
          <w:i/>
        </w:rPr>
        <w:t>Section 3C Control of information</w:t>
      </w:r>
      <w:r>
        <w:t>, of the Grant for further information.</w:t>
      </w:r>
    </w:p>
    <w:p w14:paraId="70584125" w14:textId="77777777" w:rsidR="00AB7133" w:rsidRPr="005679AE" w:rsidRDefault="00AB7133" w:rsidP="00AB7133">
      <w:r>
        <w:t xml:space="preserve"> </w:t>
      </w:r>
    </w:p>
    <w:p w14:paraId="04C82C8B" w14:textId="77777777" w:rsidR="00AB7133" w:rsidRDefault="00AB7133" w:rsidP="00AB7133">
      <w:r>
        <w:t>DES Providers are required “</w:t>
      </w:r>
      <w:r w:rsidRPr="005679AE">
        <w:t>to notify individuals whose Personal Information it holds, that their Personal Information may be disclosed and passed on to the Department</w:t>
      </w:r>
      <w:r w:rsidR="00B06D54">
        <w:t xml:space="preserve"> of Social Services </w:t>
      </w:r>
      <w:r w:rsidRPr="005679AE">
        <w:t>and to other persons in rela</w:t>
      </w:r>
      <w:r>
        <w:t xml:space="preserve">tion to providing the Services.” </w:t>
      </w:r>
    </w:p>
    <w:p w14:paraId="0E618CF7" w14:textId="77777777" w:rsidR="00AB7133" w:rsidRDefault="00AB7133">
      <w:r>
        <w:br w:type="page"/>
      </w:r>
    </w:p>
    <w:p w14:paraId="4F69A99C" w14:textId="77777777" w:rsidR="00AB7133" w:rsidRDefault="00AB7133" w:rsidP="00D73821">
      <w:pPr>
        <w:pStyle w:val="Heading3"/>
        <w:rPr>
          <w:lang w:eastAsia="en-US"/>
        </w:rPr>
      </w:pPr>
      <w:bookmarkStart w:id="47" w:name="_Toc515973961"/>
      <w:bookmarkStart w:id="48" w:name="_Toc524616558"/>
      <w:r w:rsidRPr="00AB7133">
        <w:rPr>
          <w:lang w:eastAsia="en-US"/>
        </w:rPr>
        <w:lastRenderedPageBreak/>
        <w:t>Quick guide for DES providers</w:t>
      </w:r>
      <w:bookmarkEnd w:id="47"/>
      <w:bookmarkEnd w:id="48"/>
    </w:p>
    <w:p w14:paraId="239CA342" w14:textId="77777777" w:rsidR="00D73821" w:rsidRPr="00D73821" w:rsidRDefault="001C05FC" w:rsidP="00D73821">
      <w:pPr>
        <w:rPr>
          <w:rFonts w:eastAsia="Arial"/>
          <w:lang w:eastAsia="en-US"/>
        </w:rPr>
      </w:pPr>
      <w:r>
        <w:rPr>
          <w:noProof/>
        </w:rPr>
        <w:drawing>
          <wp:inline distT="0" distB="0" distL="0" distR="0" wp14:anchorId="4E5FC560" wp14:editId="4B23C10D">
            <wp:extent cx="5274310" cy="5826125"/>
            <wp:effectExtent l="0" t="0" r="2540" b="3175"/>
            <wp:docPr id="18" name="Picture 18" title="Quick guide for DES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5826125"/>
                    </a:xfrm>
                    <a:prstGeom prst="rect">
                      <a:avLst/>
                    </a:prstGeom>
                  </pic:spPr>
                </pic:pic>
              </a:graphicData>
            </a:graphic>
          </wp:inline>
        </w:drawing>
      </w:r>
    </w:p>
    <w:p w14:paraId="4B2FEFCC" w14:textId="77777777" w:rsidR="00B06D54" w:rsidRDefault="00D73821">
      <w:pPr>
        <w:rPr>
          <w:b/>
          <w:sz w:val="24"/>
        </w:rPr>
      </w:pPr>
      <w:bookmarkStart w:id="49" w:name="_Toc515973962"/>
      <w:r>
        <w:br w:type="page"/>
      </w:r>
    </w:p>
    <w:p w14:paraId="090F3044" w14:textId="77777777" w:rsidR="00D7505E" w:rsidRDefault="00D7505E" w:rsidP="00D7505E">
      <w:pPr>
        <w:pStyle w:val="Heading3"/>
      </w:pPr>
      <w:bookmarkStart w:id="50" w:name="_Toc524616559"/>
      <w:r>
        <w:lastRenderedPageBreak/>
        <w:t>DES provider checklist</w:t>
      </w:r>
      <w:bookmarkEnd w:id="49"/>
      <w:bookmarkEnd w:id="50"/>
    </w:p>
    <w:tbl>
      <w:tblPr>
        <w:tblStyle w:val="TableGrid"/>
        <w:tblW w:w="0" w:type="auto"/>
        <w:tblBorders>
          <w:top w:val="single" w:sz="4" w:space="0" w:color="5E6067"/>
          <w:left w:val="single" w:sz="4" w:space="0" w:color="5E6067"/>
          <w:bottom w:val="single" w:sz="4" w:space="0" w:color="5E6067"/>
          <w:right w:val="single" w:sz="4" w:space="0" w:color="5E6067"/>
          <w:insideH w:val="single" w:sz="4" w:space="0" w:color="5E6067"/>
          <w:insideV w:val="single" w:sz="4" w:space="0" w:color="5E6067"/>
        </w:tblBorders>
        <w:tblLook w:val="04A0" w:firstRow="1" w:lastRow="0" w:firstColumn="1" w:lastColumn="0" w:noHBand="0" w:noVBand="1"/>
        <w:tblCaption w:val="DES provider checklist"/>
        <w:tblDescription w:val="Register your participating people with disability, Register your participating employers, Market and promote AccessAbility Day to your stakeholders, Provide all the relevant information to employers about the Day, Complete all required forms/consents, Facilitate the matching process and confirm placements for participants and employers, Prepare employers and participants for AccessAbility Day, Participate in the Local Steering Committee in preparation for the event, Actively participate in the Day"/>
      </w:tblPr>
      <w:tblGrid>
        <w:gridCol w:w="6937"/>
        <w:gridCol w:w="1359"/>
      </w:tblGrid>
      <w:tr w:rsidR="00D73821" w:rsidRPr="0050734B" w14:paraId="2C82E69B" w14:textId="77777777" w:rsidTr="00115999">
        <w:tc>
          <w:tcPr>
            <w:tcW w:w="6937" w:type="dxa"/>
          </w:tcPr>
          <w:p w14:paraId="26BB5B4D" w14:textId="77777777" w:rsidR="00D73821" w:rsidRPr="00D7505E" w:rsidRDefault="00D73821" w:rsidP="00D73821">
            <w:pPr>
              <w:pStyle w:val="TableBlackHeading"/>
            </w:pPr>
            <w:r>
              <w:t>Activity</w:t>
            </w:r>
          </w:p>
        </w:tc>
        <w:tc>
          <w:tcPr>
            <w:tcW w:w="1359" w:type="dxa"/>
          </w:tcPr>
          <w:p w14:paraId="7CAA4E18" w14:textId="77777777" w:rsidR="00D73821" w:rsidRPr="007E67F8" w:rsidRDefault="00D73821" w:rsidP="00D73821">
            <w:pPr>
              <w:pStyle w:val="TableBlackHeading"/>
            </w:pPr>
            <w:r>
              <w:t>Completed</w:t>
            </w:r>
          </w:p>
        </w:tc>
      </w:tr>
      <w:tr w:rsidR="00D7505E" w:rsidRPr="0050734B" w14:paraId="3B120856" w14:textId="77777777" w:rsidTr="00115999">
        <w:tc>
          <w:tcPr>
            <w:tcW w:w="6937" w:type="dxa"/>
          </w:tcPr>
          <w:p w14:paraId="391CEF6A" w14:textId="77777777" w:rsidR="00D7505E" w:rsidRPr="00D7505E" w:rsidRDefault="00D7505E" w:rsidP="00D7505E">
            <w:pPr>
              <w:spacing w:before="120" w:after="120"/>
              <w:rPr>
                <w:sz w:val="24"/>
              </w:rPr>
            </w:pPr>
            <w:r w:rsidRPr="00D7505E">
              <w:rPr>
                <w:sz w:val="24"/>
              </w:rPr>
              <w:t>Market and promote AccessAbility Day to your stakeholders</w:t>
            </w:r>
          </w:p>
        </w:tc>
        <w:tc>
          <w:tcPr>
            <w:tcW w:w="1359" w:type="dxa"/>
          </w:tcPr>
          <w:p w14:paraId="26197E61" w14:textId="77777777" w:rsidR="00D7505E" w:rsidRPr="007E67F8" w:rsidRDefault="00D7505E" w:rsidP="00B96328"/>
        </w:tc>
      </w:tr>
      <w:tr w:rsidR="00D7505E" w:rsidRPr="0050734B" w14:paraId="57D6C061" w14:textId="77777777" w:rsidTr="00115999">
        <w:tc>
          <w:tcPr>
            <w:tcW w:w="6937" w:type="dxa"/>
          </w:tcPr>
          <w:p w14:paraId="3DD68E74" w14:textId="77777777" w:rsidR="00D7505E" w:rsidRPr="00D7505E" w:rsidRDefault="00D7505E" w:rsidP="001A5DA1">
            <w:pPr>
              <w:spacing w:before="120" w:after="120"/>
              <w:rPr>
                <w:sz w:val="24"/>
              </w:rPr>
            </w:pPr>
            <w:r w:rsidRPr="00D7505E">
              <w:rPr>
                <w:sz w:val="24"/>
              </w:rPr>
              <w:t>Arrange participation of your caseload and record</w:t>
            </w:r>
            <w:r w:rsidR="001A5DA1">
              <w:rPr>
                <w:sz w:val="24"/>
              </w:rPr>
              <w:t xml:space="preserve"> this using the Consultant Task function in ESSWeb</w:t>
            </w:r>
          </w:p>
        </w:tc>
        <w:tc>
          <w:tcPr>
            <w:tcW w:w="1359" w:type="dxa"/>
          </w:tcPr>
          <w:p w14:paraId="6B23CF5B" w14:textId="77777777" w:rsidR="00D7505E" w:rsidRPr="007E67F8" w:rsidRDefault="00D7505E" w:rsidP="00B96328"/>
        </w:tc>
      </w:tr>
      <w:tr w:rsidR="00D7505E" w:rsidRPr="0050734B" w14:paraId="4D37B197" w14:textId="77777777" w:rsidTr="00115999">
        <w:tc>
          <w:tcPr>
            <w:tcW w:w="6937" w:type="dxa"/>
          </w:tcPr>
          <w:p w14:paraId="649F3FD9" w14:textId="77777777" w:rsidR="00D7505E" w:rsidRPr="00D7505E" w:rsidRDefault="00D7505E" w:rsidP="00D7505E">
            <w:pPr>
              <w:spacing w:before="120" w:after="120"/>
              <w:rPr>
                <w:sz w:val="24"/>
              </w:rPr>
            </w:pPr>
            <w:r w:rsidRPr="00D7505E">
              <w:rPr>
                <w:sz w:val="24"/>
              </w:rPr>
              <w:t>Match participants and employers</w:t>
            </w:r>
          </w:p>
        </w:tc>
        <w:tc>
          <w:tcPr>
            <w:tcW w:w="1359" w:type="dxa"/>
          </w:tcPr>
          <w:p w14:paraId="4C615647" w14:textId="77777777" w:rsidR="00D7505E" w:rsidRPr="007E67F8" w:rsidRDefault="00D7505E" w:rsidP="00B96328"/>
        </w:tc>
      </w:tr>
      <w:tr w:rsidR="00D7505E" w:rsidRPr="0050734B" w14:paraId="676E7AAB" w14:textId="77777777" w:rsidTr="00115999">
        <w:tc>
          <w:tcPr>
            <w:tcW w:w="6937" w:type="dxa"/>
          </w:tcPr>
          <w:p w14:paraId="6CA4D8DA" w14:textId="77777777" w:rsidR="00D7505E" w:rsidRPr="00D7505E" w:rsidRDefault="00D7505E" w:rsidP="001A5DA1">
            <w:pPr>
              <w:spacing w:before="120" w:after="120"/>
              <w:rPr>
                <w:sz w:val="24"/>
              </w:rPr>
            </w:pPr>
            <w:r w:rsidRPr="00D7505E">
              <w:rPr>
                <w:sz w:val="24"/>
              </w:rPr>
              <w:t xml:space="preserve">Record employer details </w:t>
            </w:r>
            <w:r w:rsidR="001A5DA1">
              <w:rPr>
                <w:sz w:val="24"/>
              </w:rPr>
              <w:t>in the notes section of</w:t>
            </w:r>
            <w:r w:rsidRPr="00D7505E">
              <w:rPr>
                <w:sz w:val="24"/>
              </w:rPr>
              <w:t xml:space="preserve"> the </w:t>
            </w:r>
            <w:r w:rsidR="001A5DA1">
              <w:rPr>
                <w:sz w:val="24"/>
              </w:rPr>
              <w:t>Consultant Task function</w:t>
            </w:r>
            <w:r w:rsidRPr="00D7505E">
              <w:rPr>
                <w:sz w:val="24"/>
              </w:rPr>
              <w:t xml:space="preserve"> in ESSWeb </w:t>
            </w:r>
          </w:p>
        </w:tc>
        <w:tc>
          <w:tcPr>
            <w:tcW w:w="1359" w:type="dxa"/>
          </w:tcPr>
          <w:p w14:paraId="0B200BB9" w14:textId="77777777" w:rsidR="00D7505E" w:rsidRPr="007E67F8" w:rsidRDefault="00D7505E" w:rsidP="00B96328"/>
        </w:tc>
      </w:tr>
      <w:tr w:rsidR="00D7505E" w:rsidRPr="0050734B" w14:paraId="2851B693" w14:textId="77777777" w:rsidTr="00115999">
        <w:tc>
          <w:tcPr>
            <w:tcW w:w="6937" w:type="dxa"/>
          </w:tcPr>
          <w:p w14:paraId="1464D062" w14:textId="77777777" w:rsidR="00D7505E" w:rsidRPr="00D7505E" w:rsidRDefault="00D7505E" w:rsidP="00D7505E">
            <w:pPr>
              <w:spacing w:before="120" w:after="120"/>
              <w:rPr>
                <w:sz w:val="24"/>
              </w:rPr>
            </w:pPr>
            <w:r w:rsidRPr="00D7505E">
              <w:rPr>
                <w:sz w:val="24"/>
              </w:rPr>
              <w:t>Contact new employers that you are able to match a participant with to organise AccessAbility Day placements</w:t>
            </w:r>
          </w:p>
        </w:tc>
        <w:tc>
          <w:tcPr>
            <w:tcW w:w="1359" w:type="dxa"/>
          </w:tcPr>
          <w:p w14:paraId="7A9B0668" w14:textId="77777777" w:rsidR="00D7505E" w:rsidRPr="007E67F8" w:rsidRDefault="00D7505E" w:rsidP="00B96328"/>
        </w:tc>
      </w:tr>
      <w:tr w:rsidR="00D7505E" w:rsidRPr="0050734B" w14:paraId="0B3ADB3B" w14:textId="77777777" w:rsidTr="00115999">
        <w:tc>
          <w:tcPr>
            <w:tcW w:w="6937" w:type="dxa"/>
          </w:tcPr>
          <w:p w14:paraId="61D5E35E" w14:textId="77777777" w:rsidR="00D7505E" w:rsidRPr="00D7505E" w:rsidRDefault="00D7505E" w:rsidP="00D7505E">
            <w:pPr>
              <w:spacing w:before="120" w:after="120"/>
              <w:rPr>
                <w:sz w:val="24"/>
              </w:rPr>
            </w:pPr>
            <w:r w:rsidRPr="00D7505E">
              <w:rPr>
                <w:sz w:val="24"/>
              </w:rPr>
              <w:t>Complete an employer risk assessment form for each placement</w:t>
            </w:r>
          </w:p>
        </w:tc>
        <w:tc>
          <w:tcPr>
            <w:tcW w:w="1359" w:type="dxa"/>
          </w:tcPr>
          <w:p w14:paraId="65806F4D" w14:textId="77777777" w:rsidR="00D7505E" w:rsidRPr="007E67F8" w:rsidRDefault="00D7505E" w:rsidP="00B96328"/>
        </w:tc>
      </w:tr>
      <w:tr w:rsidR="00D7505E" w:rsidRPr="0050734B" w14:paraId="1D759049" w14:textId="77777777" w:rsidTr="00115999">
        <w:tc>
          <w:tcPr>
            <w:tcW w:w="6937" w:type="dxa"/>
          </w:tcPr>
          <w:p w14:paraId="6BF91C61" w14:textId="77777777" w:rsidR="00D7505E" w:rsidRPr="00D7505E" w:rsidRDefault="00D7505E" w:rsidP="00D7505E">
            <w:pPr>
              <w:spacing w:before="120" w:after="120"/>
              <w:rPr>
                <w:sz w:val="24"/>
              </w:rPr>
            </w:pPr>
            <w:r w:rsidRPr="00D7505E">
              <w:rPr>
                <w:sz w:val="24"/>
              </w:rPr>
              <w:t>Confirm placements with participants and employers</w:t>
            </w:r>
          </w:p>
        </w:tc>
        <w:tc>
          <w:tcPr>
            <w:tcW w:w="1359" w:type="dxa"/>
          </w:tcPr>
          <w:p w14:paraId="4EC2AD0C" w14:textId="77777777" w:rsidR="00D7505E" w:rsidRPr="007E67F8" w:rsidRDefault="00D7505E" w:rsidP="00B96328"/>
        </w:tc>
      </w:tr>
      <w:tr w:rsidR="00D7505E" w:rsidRPr="0050734B" w14:paraId="5FD8FDD3" w14:textId="77777777" w:rsidTr="00115999">
        <w:tc>
          <w:tcPr>
            <w:tcW w:w="6937" w:type="dxa"/>
          </w:tcPr>
          <w:p w14:paraId="422CFBB7" w14:textId="77777777" w:rsidR="00D7505E" w:rsidRPr="00D7505E" w:rsidRDefault="00D7505E" w:rsidP="00D7505E">
            <w:pPr>
              <w:spacing w:before="120" w:after="120"/>
              <w:rPr>
                <w:sz w:val="24"/>
              </w:rPr>
            </w:pPr>
            <w:r w:rsidRPr="00D7505E">
              <w:rPr>
                <w:sz w:val="24"/>
              </w:rPr>
              <w:t xml:space="preserve">Organise a suitable placement date for both the employer and the participant </w:t>
            </w:r>
          </w:p>
        </w:tc>
        <w:tc>
          <w:tcPr>
            <w:tcW w:w="1359" w:type="dxa"/>
          </w:tcPr>
          <w:p w14:paraId="52C161FD" w14:textId="77777777" w:rsidR="00D7505E" w:rsidRPr="007E67F8" w:rsidRDefault="00D7505E" w:rsidP="00B96328"/>
        </w:tc>
      </w:tr>
      <w:tr w:rsidR="00D7505E" w:rsidRPr="0050734B" w14:paraId="5BA00771" w14:textId="77777777" w:rsidTr="00115999">
        <w:tc>
          <w:tcPr>
            <w:tcW w:w="6937" w:type="dxa"/>
          </w:tcPr>
          <w:p w14:paraId="228E7C78" w14:textId="77777777" w:rsidR="00D7505E" w:rsidRPr="00D7505E" w:rsidRDefault="00D7505E" w:rsidP="00D7505E">
            <w:pPr>
              <w:spacing w:before="120" w:after="120"/>
              <w:rPr>
                <w:sz w:val="24"/>
              </w:rPr>
            </w:pPr>
            <w:r w:rsidRPr="00D7505E">
              <w:rPr>
                <w:sz w:val="24"/>
              </w:rPr>
              <w:t>Inform the participant of any requirements including arrival time, contact details, clothing requirements if applicable</w:t>
            </w:r>
          </w:p>
        </w:tc>
        <w:tc>
          <w:tcPr>
            <w:tcW w:w="1359" w:type="dxa"/>
          </w:tcPr>
          <w:p w14:paraId="4F49C1E3" w14:textId="77777777" w:rsidR="00D7505E" w:rsidRPr="007E67F8" w:rsidRDefault="00D7505E" w:rsidP="00B96328"/>
        </w:tc>
      </w:tr>
      <w:tr w:rsidR="00D7505E" w:rsidRPr="0050734B" w14:paraId="7C36D4F8" w14:textId="77777777" w:rsidTr="00115999">
        <w:tc>
          <w:tcPr>
            <w:tcW w:w="6937" w:type="dxa"/>
          </w:tcPr>
          <w:p w14:paraId="254A5C0F" w14:textId="77777777" w:rsidR="00D7505E" w:rsidRPr="00D7505E" w:rsidRDefault="00D7505E" w:rsidP="00D7505E">
            <w:pPr>
              <w:spacing w:before="120" w:after="120"/>
              <w:rPr>
                <w:sz w:val="24"/>
              </w:rPr>
            </w:pPr>
            <w:r w:rsidRPr="00D7505E">
              <w:rPr>
                <w:sz w:val="24"/>
              </w:rPr>
              <w:t>Prepare participants and employers for AccessAbility Day</w:t>
            </w:r>
          </w:p>
        </w:tc>
        <w:tc>
          <w:tcPr>
            <w:tcW w:w="1359" w:type="dxa"/>
          </w:tcPr>
          <w:p w14:paraId="30BA7568" w14:textId="77777777" w:rsidR="00D7505E" w:rsidRPr="007E67F8" w:rsidRDefault="00D7505E" w:rsidP="00B96328"/>
        </w:tc>
      </w:tr>
      <w:tr w:rsidR="00D7505E" w:rsidRPr="0050734B" w14:paraId="354C6BC2" w14:textId="77777777" w:rsidTr="00115999">
        <w:tc>
          <w:tcPr>
            <w:tcW w:w="6937" w:type="dxa"/>
          </w:tcPr>
          <w:p w14:paraId="5E952527" w14:textId="77777777" w:rsidR="00D7505E" w:rsidRPr="00D7505E" w:rsidRDefault="00D7505E" w:rsidP="00D7505E">
            <w:pPr>
              <w:spacing w:before="120" w:after="120"/>
              <w:rPr>
                <w:sz w:val="24"/>
              </w:rPr>
            </w:pPr>
            <w:r w:rsidRPr="00D7505E">
              <w:rPr>
                <w:sz w:val="24"/>
              </w:rPr>
              <w:t>Help participants to reflect on their experience after AccessAbility Day</w:t>
            </w:r>
          </w:p>
        </w:tc>
        <w:tc>
          <w:tcPr>
            <w:tcW w:w="1359" w:type="dxa"/>
          </w:tcPr>
          <w:p w14:paraId="1ABF3B23" w14:textId="77777777" w:rsidR="00D7505E" w:rsidRPr="007E67F8" w:rsidRDefault="00D7505E" w:rsidP="00B96328"/>
        </w:tc>
      </w:tr>
    </w:tbl>
    <w:p w14:paraId="4FCEB43D" w14:textId="77777777" w:rsidR="00D7505E" w:rsidRPr="0021284D" w:rsidRDefault="00D7505E" w:rsidP="00D7505E">
      <w:pPr>
        <w:pStyle w:val="Heading3"/>
      </w:pPr>
      <w:bookmarkStart w:id="51" w:name="_Toc515973963"/>
      <w:bookmarkStart w:id="52" w:name="_Toc524616560"/>
      <w:r>
        <w:t>AccessAbility Day</w:t>
      </w:r>
      <w:r w:rsidRPr="0021284D">
        <w:t xml:space="preserve"> </w:t>
      </w:r>
      <w:r>
        <w:t>support</w:t>
      </w:r>
      <w:r w:rsidRPr="00014850">
        <w:t xml:space="preserve"> </w:t>
      </w:r>
      <w:r>
        <w:t>and</w:t>
      </w:r>
      <w:r w:rsidRPr="00014850">
        <w:t xml:space="preserve"> </w:t>
      </w:r>
      <w:r>
        <w:t>s</w:t>
      </w:r>
      <w:r w:rsidRPr="0021284D">
        <w:t>ervices</w:t>
      </w:r>
      <w:bookmarkEnd w:id="51"/>
      <w:bookmarkEnd w:id="52"/>
    </w:p>
    <w:p w14:paraId="47E55BEE" w14:textId="77777777" w:rsidR="00D7505E" w:rsidRPr="00D7505E" w:rsidRDefault="00D7505E" w:rsidP="00D7505E">
      <w:pPr>
        <w:rPr>
          <w:rFonts w:asciiTheme="minorHAnsi" w:hAnsiTheme="minorHAnsi" w:cstheme="minorHAnsi"/>
          <w:b/>
          <w:bCs/>
          <w:szCs w:val="22"/>
          <w:lang w:val="en"/>
        </w:rPr>
      </w:pPr>
      <w:r w:rsidRPr="00D7505E">
        <w:rPr>
          <w:rFonts w:asciiTheme="minorHAnsi" w:hAnsiTheme="minorHAnsi" w:cstheme="minorHAnsi"/>
          <w:b/>
          <w:szCs w:val="22"/>
        </w:rPr>
        <w:t>AccessAbility Day Website</w:t>
      </w:r>
      <w:r w:rsidRPr="00D7505E">
        <w:rPr>
          <w:rFonts w:asciiTheme="minorHAnsi" w:hAnsiTheme="minorHAnsi" w:cstheme="minorHAnsi"/>
          <w:b/>
          <w:szCs w:val="22"/>
          <w:lang w:val="en"/>
        </w:rPr>
        <w:t xml:space="preserve"> –</w:t>
      </w:r>
      <w:r w:rsidRPr="00D7505E">
        <w:rPr>
          <w:rFonts w:asciiTheme="minorHAnsi" w:hAnsiTheme="minorHAnsi" w:cstheme="minorHAnsi"/>
          <w:szCs w:val="22"/>
        </w:rPr>
        <w:t xml:space="preserve"> </w:t>
      </w:r>
      <w:hyperlink r:id="rId21" w:history="1">
        <w:r w:rsidRPr="00D7505E">
          <w:rPr>
            <w:rStyle w:val="Hyperlink"/>
            <w:rFonts w:asciiTheme="minorHAnsi" w:hAnsiTheme="minorHAnsi" w:cstheme="minorHAnsi"/>
            <w:szCs w:val="22"/>
          </w:rPr>
          <w:t>www.jobaccess.gov.au/accessabilityday</w:t>
        </w:r>
      </w:hyperlink>
      <w:r w:rsidRPr="00D7505E">
        <w:rPr>
          <w:rFonts w:asciiTheme="minorHAnsi" w:hAnsiTheme="minorHAnsi" w:cstheme="minorHAnsi"/>
          <w:szCs w:val="22"/>
          <w:lang w:val="en"/>
        </w:rPr>
        <w:t xml:space="preserve"> </w:t>
      </w:r>
    </w:p>
    <w:p w14:paraId="45049626" w14:textId="77777777" w:rsidR="00D7505E" w:rsidRPr="00D7505E" w:rsidRDefault="00D7505E" w:rsidP="00D7505E">
      <w:pPr>
        <w:pStyle w:val="NoSpacing"/>
        <w:jc w:val="both"/>
        <w:rPr>
          <w:rFonts w:cstheme="minorHAnsi"/>
          <w:bCs/>
          <w:color w:val="auto"/>
          <w:sz w:val="22"/>
          <w:lang w:val="en" w:eastAsia="en-AU"/>
        </w:rPr>
      </w:pPr>
      <w:r w:rsidRPr="00D7505E">
        <w:rPr>
          <w:rFonts w:cstheme="minorHAnsi"/>
          <w:b/>
          <w:bCs/>
          <w:color w:val="auto"/>
          <w:sz w:val="22"/>
          <w:lang w:val="en" w:eastAsia="en-AU"/>
        </w:rPr>
        <w:t xml:space="preserve">AccessAbility Day hotline – </w:t>
      </w:r>
      <w:r w:rsidRPr="00D7505E">
        <w:rPr>
          <w:rFonts w:cstheme="minorHAnsi"/>
          <w:b/>
          <w:color w:val="auto"/>
          <w:sz w:val="22"/>
        </w:rPr>
        <w:t>1800 464 800</w:t>
      </w:r>
      <w:r w:rsidRPr="00D7505E">
        <w:rPr>
          <w:rFonts w:cstheme="minorHAnsi"/>
          <w:b/>
          <w:bCs/>
          <w:color w:val="auto"/>
          <w:sz w:val="22"/>
          <w:lang w:val="en" w:eastAsia="en-AU"/>
        </w:rPr>
        <w:t xml:space="preserve"> </w:t>
      </w:r>
      <w:r w:rsidRPr="00D7505E">
        <w:rPr>
          <w:rFonts w:cstheme="minorHAnsi"/>
          <w:color w:val="auto"/>
          <w:sz w:val="22"/>
        </w:rPr>
        <w:t>(free call from land lines).</w:t>
      </w:r>
    </w:p>
    <w:p w14:paraId="5C00FDBB" w14:textId="77777777" w:rsidR="00D7505E" w:rsidRDefault="00D7505E" w:rsidP="00D7505E">
      <w:pPr>
        <w:rPr>
          <w:rFonts w:asciiTheme="minorHAnsi" w:hAnsiTheme="minorHAnsi" w:cstheme="minorHAnsi"/>
          <w:szCs w:val="22"/>
        </w:rPr>
      </w:pPr>
    </w:p>
    <w:p w14:paraId="2D12C52D" w14:textId="77777777" w:rsidR="00D7505E" w:rsidRPr="00D7505E" w:rsidRDefault="00D7505E" w:rsidP="00D7505E">
      <w:pPr>
        <w:rPr>
          <w:rFonts w:asciiTheme="minorHAnsi" w:hAnsiTheme="minorHAnsi" w:cstheme="minorHAnsi"/>
          <w:szCs w:val="22"/>
        </w:rPr>
      </w:pPr>
      <w:r w:rsidRPr="00D7505E">
        <w:rPr>
          <w:rFonts w:asciiTheme="minorHAnsi" w:hAnsiTheme="minorHAnsi" w:cstheme="minorHAnsi"/>
          <w:szCs w:val="22"/>
        </w:rPr>
        <w:t xml:space="preserve">For further information or for assistance with registration contact the hotline. TTY users please phone </w:t>
      </w:r>
      <w:r w:rsidRPr="00D7505E">
        <w:rPr>
          <w:rStyle w:val="Strong"/>
          <w:rFonts w:asciiTheme="minorHAnsi" w:hAnsiTheme="minorHAnsi" w:cstheme="minorHAnsi"/>
          <w:szCs w:val="22"/>
        </w:rPr>
        <w:t>1800 555 677</w:t>
      </w:r>
      <w:r w:rsidRPr="00D7505E">
        <w:rPr>
          <w:rFonts w:asciiTheme="minorHAnsi" w:hAnsiTheme="minorHAnsi" w:cstheme="minorHAnsi"/>
          <w:szCs w:val="22"/>
        </w:rPr>
        <w:t xml:space="preserve"> and ask for </w:t>
      </w:r>
      <w:r w:rsidRPr="00D7505E">
        <w:rPr>
          <w:rStyle w:val="Strong"/>
          <w:rFonts w:asciiTheme="minorHAnsi" w:hAnsiTheme="minorHAnsi" w:cstheme="minorHAnsi"/>
          <w:szCs w:val="22"/>
        </w:rPr>
        <w:t>1800 464 800</w:t>
      </w:r>
      <w:r w:rsidRPr="00D7505E">
        <w:rPr>
          <w:rFonts w:asciiTheme="minorHAnsi" w:hAnsiTheme="minorHAnsi" w:cstheme="minorHAnsi"/>
          <w:szCs w:val="22"/>
        </w:rPr>
        <w:t xml:space="preserve">. </w:t>
      </w:r>
    </w:p>
    <w:p w14:paraId="44232BCF" w14:textId="77777777" w:rsidR="00D7505E" w:rsidRDefault="00D7505E" w:rsidP="00D7505E">
      <w:pPr>
        <w:pStyle w:val="Bullet1"/>
        <w:rPr>
          <w:rFonts w:cstheme="minorHAnsi"/>
          <w:color w:val="auto"/>
          <w:sz w:val="22"/>
        </w:rPr>
      </w:pPr>
      <w:r w:rsidRPr="00D7505E">
        <w:rPr>
          <w:rFonts w:cstheme="minorHAnsi"/>
          <w:b/>
          <w:color w:val="auto"/>
          <w:sz w:val="22"/>
        </w:rPr>
        <w:t xml:space="preserve">AccessAbility Day mailbox – </w:t>
      </w:r>
      <w:hyperlink r:id="rId22" w:history="1">
        <w:r w:rsidRPr="00D7505E">
          <w:rPr>
            <w:rStyle w:val="Hyperlink"/>
            <w:rFonts w:cstheme="minorHAnsi"/>
            <w:sz w:val="22"/>
          </w:rPr>
          <w:t>accessabilityday@workfocus.com</w:t>
        </w:r>
      </w:hyperlink>
    </w:p>
    <w:p w14:paraId="14548396" w14:textId="77777777" w:rsidR="00D7505E" w:rsidRDefault="00D7505E">
      <w:pPr>
        <w:rPr>
          <w:rFonts w:asciiTheme="minorHAnsi" w:eastAsiaTheme="minorHAnsi" w:hAnsiTheme="minorHAnsi" w:cstheme="minorHAnsi"/>
          <w:szCs w:val="22"/>
          <w:lang w:eastAsia="en-US"/>
        </w:rPr>
      </w:pPr>
      <w:r>
        <w:rPr>
          <w:rFonts w:cstheme="minorHAnsi"/>
        </w:rPr>
        <w:br w:type="page"/>
      </w:r>
    </w:p>
    <w:p w14:paraId="0948CDBD" w14:textId="77777777" w:rsidR="00D7505E" w:rsidRPr="00D7505E" w:rsidRDefault="00D7505E" w:rsidP="00D7505E">
      <w:pPr>
        <w:pStyle w:val="Heading3"/>
      </w:pPr>
      <w:bookmarkStart w:id="53" w:name="_Toc524616561"/>
      <w:r w:rsidRPr="00D7505E">
        <w:lastRenderedPageBreak/>
        <w:t>JobAccess</w:t>
      </w:r>
      <w:bookmarkEnd w:id="53"/>
    </w:p>
    <w:p w14:paraId="490980A2" w14:textId="77777777" w:rsidR="002E0A2C" w:rsidRDefault="00D7505E" w:rsidP="002E0A2C">
      <w:r w:rsidRPr="00D7505E">
        <w:t xml:space="preserve">In addition to supporting AccessAbility Day, </w:t>
      </w:r>
      <w:r w:rsidRPr="00D7505E" w:rsidDel="000E48DF">
        <w:t xml:space="preserve">JobAccess </w:t>
      </w:r>
      <w:r w:rsidRPr="00D7505E">
        <w:t>plays a vital role in bringing together information and resources that ‘drive disability employment’.</w:t>
      </w:r>
    </w:p>
    <w:p w14:paraId="0C98B0CE" w14:textId="77777777" w:rsidR="002E0A2C" w:rsidRDefault="00D7505E" w:rsidP="002E0A2C">
      <w:r w:rsidRPr="00D7505E">
        <w:t xml:space="preserve"> </w:t>
      </w:r>
    </w:p>
    <w:p w14:paraId="58C37C2B" w14:textId="77777777" w:rsidR="00D7505E" w:rsidRDefault="00D7505E" w:rsidP="002E0A2C">
      <w:r w:rsidRPr="00D7505E">
        <w:t xml:space="preserve">This </w:t>
      </w:r>
      <w:r w:rsidRPr="002E0A2C">
        <w:t>free service</w:t>
      </w:r>
      <w:r w:rsidRPr="00D7505E">
        <w:t xml:space="preserve"> exists to help </w:t>
      </w:r>
      <w:r w:rsidRPr="002E0A2C">
        <w:t>remove barriers to disability employment</w:t>
      </w:r>
      <w:r w:rsidRPr="00D7505E">
        <w:t xml:space="preserve"> by providing</w:t>
      </w:r>
      <w:r w:rsidR="00B06D54">
        <w:t>:</w:t>
      </w:r>
    </w:p>
    <w:p w14:paraId="5E7F5356" w14:textId="77777777" w:rsidR="002E0A2C" w:rsidRPr="00D7505E" w:rsidDel="000E48DF" w:rsidRDefault="002E0A2C" w:rsidP="002E0A2C"/>
    <w:p w14:paraId="55AD02A7" w14:textId="77777777" w:rsidR="00D7505E" w:rsidRPr="008E62FD" w:rsidRDefault="00D7505E" w:rsidP="002E0A2C">
      <w:pPr>
        <w:pStyle w:val="Bullet1"/>
        <w:numPr>
          <w:ilvl w:val="0"/>
          <w:numId w:val="17"/>
        </w:numPr>
        <w:rPr>
          <w:color w:val="auto"/>
          <w:sz w:val="22"/>
        </w:rPr>
      </w:pPr>
      <w:r w:rsidRPr="008E62FD">
        <w:rPr>
          <w:color w:val="auto"/>
          <w:sz w:val="22"/>
        </w:rPr>
        <w:t>an advice and information service delivering expert and confidential assistance with all matters of disability employment</w:t>
      </w:r>
    </w:p>
    <w:p w14:paraId="694B9689" w14:textId="77777777" w:rsidR="00D7505E" w:rsidRPr="008E62FD" w:rsidRDefault="00F875DA" w:rsidP="002E0A2C">
      <w:pPr>
        <w:pStyle w:val="Bullet1"/>
        <w:numPr>
          <w:ilvl w:val="0"/>
          <w:numId w:val="17"/>
        </w:numPr>
        <w:rPr>
          <w:color w:val="auto"/>
          <w:sz w:val="22"/>
        </w:rPr>
      </w:pPr>
      <w:hyperlink r:id="rId23" w:history="1">
        <w:r w:rsidR="00D7505E" w:rsidRPr="00223B64">
          <w:rPr>
            <w:rStyle w:val="Hyperlink"/>
            <w:sz w:val="22"/>
          </w:rPr>
          <w:t>a comprehensive website</w:t>
        </w:r>
      </w:hyperlink>
      <w:r w:rsidR="00D7505E" w:rsidRPr="008E62FD">
        <w:rPr>
          <w:color w:val="auto"/>
          <w:sz w:val="22"/>
        </w:rPr>
        <w:t xml:space="preserve"> with a wide range of disability employment resources, tools and links to available support services</w:t>
      </w:r>
    </w:p>
    <w:p w14:paraId="13DAE5C1" w14:textId="77777777" w:rsidR="00D7505E" w:rsidRPr="008E62FD" w:rsidRDefault="00D7505E" w:rsidP="002E0A2C">
      <w:pPr>
        <w:pStyle w:val="Bullet1"/>
        <w:numPr>
          <w:ilvl w:val="0"/>
          <w:numId w:val="17"/>
        </w:numPr>
        <w:rPr>
          <w:color w:val="auto"/>
          <w:sz w:val="22"/>
        </w:rPr>
      </w:pPr>
      <w:r w:rsidRPr="008E62FD">
        <w:rPr>
          <w:color w:val="auto"/>
          <w:sz w:val="22"/>
        </w:rPr>
        <w:t xml:space="preserve">access to the Employment Assistance Fund </w:t>
      </w:r>
      <w:r w:rsidR="00B06D54">
        <w:rPr>
          <w:color w:val="auto"/>
          <w:sz w:val="22"/>
        </w:rPr>
        <w:t xml:space="preserve">(EAF) </w:t>
      </w:r>
      <w:r w:rsidRPr="008E62FD">
        <w:rPr>
          <w:color w:val="auto"/>
          <w:sz w:val="22"/>
        </w:rPr>
        <w:t>by co-ordinating funding for reasonable workplace adjustments, modifications and training that enable people with disability to do their job</w:t>
      </w:r>
    </w:p>
    <w:p w14:paraId="4FACEABD" w14:textId="77777777" w:rsidR="00D7505E" w:rsidRPr="008E62FD" w:rsidRDefault="00D7505E" w:rsidP="002E0A2C">
      <w:pPr>
        <w:pStyle w:val="Bullet1"/>
        <w:numPr>
          <w:ilvl w:val="0"/>
          <w:numId w:val="17"/>
        </w:numPr>
        <w:rPr>
          <w:color w:val="auto"/>
          <w:sz w:val="22"/>
        </w:rPr>
      </w:pPr>
      <w:r w:rsidRPr="008E62FD">
        <w:rPr>
          <w:color w:val="auto"/>
          <w:sz w:val="22"/>
        </w:rPr>
        <w:t>an Employer engagement service called the National Disability Recruitment Coordinator that assists employers to build disability confidence and competence</w:t>
      </w:r>
    </w:p>
    <w:p w14:paraId="37B63565" w14:textId="77777777" w:rsidR="00D7505E" w:rsidRPr="008E62FD" w:rsidRDefault="00D7505E" w:rsidP="002E0A2C">
      <w:pPr>
        <w:pStyle w:val="Bullet1"/>
        <w:numPr>
          <w:ilvl w:val="0"/>
          <w:numId w:val="17"/>
        </w:numPr>
        <w:rPr>
          <w:color w:val="auto"/>
          <w:sz w:val="22"/>
        </w:rPr>
      </w:pPr>
      <w:r w:rsidRPr="008E62FD">
        <w:rPr>
          <w:color w:val="auto"/>
          <w:sz w:val="22"/>
        </w:rPr>
        <w:t>vital reporting services including the Complaints Resolution and Referral Service and National Disabi</w:t>
      </w:r>
      <w:r w:rsidR="00D73821">
        <w:rPr>
          <w:color w:val="auto"/>
          <w:sz w:val="22"/>
        </w:rPr>
        <w:t>lity Abuse and Neglect Hotline.</w:t>
      </w:r>
    </w:p>
    <w:p w14:paraId="642B2A46" w14:textId="77777777" w:rsidR="00BE0998" w:rsidRDefault="00BE0998" w:rsidP="00BE0998">
      <w:pPr>
        <w:spacing w:before="120"/>
      </w:pPr>
    </w:p>
    <w:p w14:paraId="67019D50" w14:textId="77777777" w:rsidR="002E0A2C" w:rsidRDefault="002E0A2C" w:rsidP="006B52EA">
      <w:pPr>
        <w:pStyle w:val="Heading3"/>
      </w:pPr>
      <w:bookmarkStart w:id="54" w:name="_Toc515973964"/>
      <w:bookmarkStart w:id="55" w:name="_Toc524616562"/>
      <w:r>
        <w:t>Alternative programs</w:t>
      </w:r>
      <w:bookmarkEnd w:id="54"/>
      <w:bookmarkEnd w:id="55"/>
    </w:p>
    <w:p w14:paraId="43FCF6C1" w14:textId="77777777" w:rsidR="002E0A2C" w:rsidRDefault="002E0A2C" w:rsidP="002E0A2C">
      <w:r>
        <w:t xml:space="preserve">For some participants, an alternative program may better suit the individual’s needs and requirements. Suggested programs for consideration include: </w:t>
      </w:r>
    </w:p>
    <w:p w14:paraId="5A932B25" w14:textId="77777777" w:rsidR="002E0A2C" w:rsidRDefault="002E0A2C" w:rsidP="002E0A2C">
      <w:pPr>
        <w:pStyle w:val="NoSpacing"/>
        <w:rPr>
          <w:b/>
        </w:rPr>
      </w:pPr>
    </w:p>
    <w:p w14:paraId="5AEB0CE5" w14:textId="77777777" w:rsidR="002E0A2C" w:rsidRDefault="002E0A2C" w:rsidP="006B52EA">
      <w:pPr>
        <w:pStyle w:val="Heading4"/>
      </w:pPr>
      <w:bookmarkStart w:id="56" w:name="_Toc515973965"/>
      <w:r>
        <w:t>National Work Experience Program (NWEP)</w:t>
      </w:r>
      <w:bookmarkEnd w:id="56"/>
      <w:r>
        <w:t xml:space="preserve"> </w:t>
      </w:r>
    </w:p>
    <w:p w14:paraId="065AA0F6" w14:textId="77777777" w:rsidR="002E0A2C" w:rsidRDefault="002E0A2C" w:rsidP="002E0A2C">
      <w:pPr>
        <w:pStyle w:val="NoSpacing"/>
        <w:rPr>
          <w:b/>
        </w:rPr>
      </w:pPr>
    </w:p>
    <w:p w14:paraId="5DDDA2D4" w14:textId="77777777" w:rsidR="002E0A2C" w:rsidRPr="008E62FD" w:rsidRDefault="002E0A2C" w:rsidP="002E0A2C">
      <w:pPr>
        <w:pStyle w:val="NoSpacing"/>
        <w:rPr>
          <w:color w:val="auto"/>
          <w:sz w:val="22"/>
        </w:rPr>
      </w:pPr>
      <w:r w:rsidRPr="008E62FD">
        <w:rPr>
          <w:color w:val="auto"/>
          <w:sz w:val="22"/>
        </w:rPr>
        <w:t>NWEP Placements can occur in for-profit, not-for-profit and Government organisations, and should have a likelihood of paid employment available at the completion of the Placement. There is no obligation for employers to hire the jobseeker at the completion of the Placement however, where they decide the jobseeker is a good fit, the employer may be eligible for a wage subsidy.</w:t>
      </w:r>
    </w:p>
    <w:p w14:paraId="1ABC9854" w14:textId="77777777" w:rsidR="002E0A2C" w:rsidRPr="008E62FD" w:rsidRDefault="002E0A2C" w:rsidP="002E0A2C">
      <w:pPr>
        <w:pStyle w:val="NoSpacing"/>
        <w:rPr>
          <w:color w:val="auto"/>
          <w:sz w:val="22"/>
        </w:rPr>
      </w:pPr>
    </w:p>
    <w:p w14:paraId="502C84EA" w14:textId="77777777" w:rsidR="002E0A2C" w:rsidRPr="008E62FD" w:rsidRDefault="002E0A2C" w:rsidP="002E0A2C">
      <w:pPr>
        <w:pStyle w:val="NoSpacing"/>
        <w:rPr>
          <w:color w:val="auto"/>
          <w:sz w:val="22"/>
        </w:rPr>
      </w:pPr>
      <w:r w:rsidRPr="008E62FD">
        <w:rPr>
          <w:color w:val="auto"/>
          <w:sz w:val="22"/>
        </w:rPr>
        <w:t>Placements can be undertaken for a maximum of 25 hours per week for up to four weeks; the Placement should be of shorter duration where the opportunity for paid employment at the completion of the Placement is short-term (i.e. less than six months).</w:t>
      </w:r>
    </w:p>
    <w:p w14:paraId="56F3D9E7" w14:textId="77777777" w:rsidR="002E0A2C" w:rsidRPr="008E62FD" w:rsidRDefault="002E0A2C" w:rsidP="002E0A2C">
      <w:pPr>
        <w:pStyle w:val="NoSpacing"/>
        <w:rPr>
          <w:color w:val="auto"/>
          <w:sz w:val="22"/>
        </w:rPr>
      </w:pPr>
    </w:p>
    <w:p w14:paraId="63FB450A" w14:textId="77777777" w:rsidR="002E0A2C" w:rsidRPr="008E62FD" w:rsidRDefault="002E0A2C" w:rsidP="002E0A2C">
      <w:pPr>
        <w:pStyle w:val="NoSpacing"/>
        <w:rPr>
          <w:color w:val="auto"/>
          <w:sz w:val="22"/>
        </w:rPr>
      </w:pPr>
      <w:r w:rsidRPr="008E62FD">
        <w:rPr>
          <w:color w:val="auto"/>
          <w:sz w:val="22"/>
        </w:rPr>
        <w:t xml:space="preserve">For more information visit </w:t>
      </w:r>
      <w:r w:rsidR="00223B64">
        <w:rPr>
          <w:color w:val="auto"/>
          <w:sz w:val="22"/>
        </w:rPr>
        <w:t xml:space="preserve">the </w:t>
      </w:r>
      <w:hyperlink r:id="rId24" w:history="1">
        <w:r w:rsidR="00223B64" w:rsidRPr="00223B64">
          <w:rPr>
            <w:rStyle w:val="Hyperlink"/>
            <w:sz w:val="22"/>
          </w:rPr>
          <w:t>Department of Jobs and Small Business</w:t>
        </w:r>
      </w:hyperlink>
      <w:r w:rsidR="00223B64">
        <w:rPr>
          <w:color w:val="auto"/>
          <w:sz w:val="22"/>
        </w:rPr>
        <w:t xml:space="preserve"> website.</w:t>
      </w:r>
    </w:p>
    <w:p w14:paraId="39946D78" w14:textId="77777777" w:rsidR="006B52EA" w:rsidRDefault="006B52EA">
      <w:pPr>
        <w:rPr>
          <w:rFonts w:asciiTheme="minorHAnsi" w:eastAsiaTheme="minorHAnsi" w:hAnsiTheme="minorHAnsi" w:cstheme="minorBidi"/>
          <w:color w:val="C0504D" w:themeColor="accent2"/>
          <w:sz w:val="24"/>
          <w:szCs w:val="22"/>
          <w:lang w:eastAsia="en-US"/>
        </w:rPr>
      </w:pPr>
      <w:r>
        <w:br w:type="page"/>
      </w:r>
    </w:p>
    <w:p w14:paraId="0E387076" w14:textId="77777777" w:rsidR="002E0A2C" w:rsidRDefault="002E0A2C" w:rsidP="006B52EA">
      <w:pPr>
        <w:pStyle w:val="Heading4"/>
      </w:pPr>
      <w:bookmarkStart w:id="57" w:name="_Toc515973966"/>
      <w:r>
        <w:lastRenderedPageBreak/>
        <w:t>PaTH Internships</w:t>
      </w:r>
      <w:bookmarkEnd w:id="57"/>
    </w:p>
    <w:p w14:paraId="263F0682" w14:textId="77777777" w:rsidR="002E0A2C" w:rsidRDefault="002E0A2C" w:rsidP="002E0A2C">
      <w:pPr>
        <w:pStyle w:val="NoSpacing"/>
        <w:rPr>
          <w:b/>
        </w:rPr>
      </w:pPr>
    </w:p>
    <w:p w14:paraId="5AE96013" w14:textId="77777777" w:rsidR="002E0A2C" w:rsidRPr="008E62FD" w:rsidRDefault="002E0A2C" w:rsidP="002E0A2C">
      <w:pPr>
        <w:pStyle w:val="NoSpacing"/>
        <w:rPr>
          <w:color w:val="auto"/>
          <w:sz w:val="22"/>
        </w:rPr>
      </w:pPr>
      <w:r w:rsidRPr="008E62FD">
        <w:rPr>
          <w:color w:val="auto"/>
          <w:sz w:val="22"/>
        </w:rPr>
        <w:t>A PaTH Internship gives a participant aged 17-24 years (inclusive) the chance to demonstrate their skills in the workplace to a potential employer, develop vocational skills and improve their employment prospects.</w:t>
      </w:r>
    </w:p>
    <w:p w14:paraId="4617913E" w14:textId="77777777" w:rsidR="002E0A2C" w:rsidRPr="008E62FD" w:rsidRDefault="002E0A2C" w:rsidP="002E0A2C">
      <w:pPr>
        <w:pStyle w:val="NoSpacing"/>
        <w:rPr>
          <w:color w:val="auto"/>
          <w:sz w:val="22"/>
        </w:rPr>
      </w:pPr>
    </w:p>
    <w:p w14:paraId="112BD749" w14:textId="77777777" w:rsidR="002E0A2C" w:rsidRPr="008E62FD" w:rsidRDefault="002E0A2C" w:rsidP="002E0A2C">
      <w:pPr>
        <w:pStyle w:val="NoSpacing"/>
        <w:rPr>
          <w:color w:val="auto"/>
          <w:sz w:val="22"/>
        </w:rPr>
      </w:pPr>
      <w:r w:rsidRPr="008E62FD">
        <w:rPr>
          <w:color w:val="auto"/>
          <w:sz w:val="22"/>
        </w:rPr>
        <w:t>Each internship is voluntary for 30 to 50 hours per fortnight over four to 12 weeks. An internship provides financial incentives for the host business and intern.</w:t>
      </w:r>
    </w:p>
    <w:p w14:paraId="59EEC43D" w14:textId="77777777" w:rsidR="002E0A2C" w:rsidRPr="008E62FD" w:rsidRDefault="002E0A2C" w:rsidP="002E0A2C">
      <w:pPr>
        <w:pStyle w:val="NoSpacing"/>
        <w:rPr>
          <w:color w:val="auto"/>
          <w:sz w:val="22"/>
        </w:rPr>
      </w:pPr>
    </w:p>
    <w:p w14:paraId="37EB4542" w14:textId="77777777" w:rsidR="002E0A2C" w:rsidRPr="008E62FD" w:rsidRDefault="002E0A2C" w:rsidP="002E0A2C">
      <w:pPr>
        <w:pStyle w:val="NoSpacing"/>
        <w:rPr>
          <w:color w:val="auto"/>
          <w:sz w:val="22"/>
        </w:rPr>
      </w:pPr>
      <w:r w:rsidRPr="008E62FD">
        <w:rPr>
          <w:color w:val="auto"/>
          <w:sz w:val="22"/>
        </w:rPr>
        <w:t xml:space="preserve">For more information visit </w:t>
      </w:r>
      <w:r w:rsidR="00223B64">
        <w:rPr>
          <w:color w:val="auto"/>
          <w:sz w:val="22"/>
        </w:rPr>
        <w:t xml:space="preserve">the </w:t>
      </w:r>
      <w:hyperlink r:id="rId25" w:history="1">
        <w:r w:rsidR="00223B64" w:rsidRPr="00223B64">
          <w:rPr>
            <w:rStyle w:val="Hyperlink"/>
            <w:sz w:val="22"/>
          </w:rPr>
          <w:t>Department of Jobs and Small Business</w:t>
        </w:r>
      </w:hyperlink>
      <w:r w:rsidR="00223B64">
        <w:rPr>
          <w:color w:val="auto"/>
          <w:sz w:val="22"/>
        </w:rPr>
        <w:t xml:space="preserve"> website.</w:t>
      </w:r>
    </w:p>
    <w:p w14:paraId="57CCBA6F" w14:textId="77777777" w:rsidR="006B52EA" w:rsidRDefault="006B52EA">
      <w:r>
        <w:br w:type="page"/>
      </w:r>
    </w:p>
    <w:p w14:paraId="64191CC6" w14:textId="77777777" w:rsidR="00B96328" w:rsidRDefault="00B96328" w:rsidP="006B52EA">
      <w:pPr>
        <w:rPr>
          <w:rFonts w:asciiTheme="majorHAnsi" w:hAnsiTheme="majorHAnsi"/>
        </w:rPr>
        <w:sectPr w:rsidR="00B96328" w:rsidSect="00C2063B">
          <w:footerReference w:type="default" r:id="rId26"/>
          <w:headerReference w:type="first" r:id="rId27"/>
          <w:footerReference w:type="first" r:id="rId28"/>
          <w:pgSz w:w="11906" w:h="16838"/>
          <w:pgMar w:top="1440" w:right="1800" w:bottom="1440" w:left="1800" w:header="708" w:footer="433" w:gutter="0"/>
          <w:cols w:space="708"/>
          <w:titlePg/>
          <w:docGrid w:linePitch="360"/>
        </w:sectPr>
      </w:pPr>
    </w:p>
    <w:tbl>
      <w:tblPr>
        <w:tblpPr w:leftFromText="180" w:rightFromText="180" w:vertAnchor="page" w:horzAnchor="margin" w:tblpXSpec="center" w:tblpY="1906"/>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60"/>
        <w:gridCol w:w="7311"/>
      </w:tblGrid>
      <w:tr w:rsidR="00B96328" w:rsidRPr="00B96328" w14:paraId="474E04DB" w14:textId="77777777" w:rsidTr="00B96328">
        <w:trPr>
          <w:trHeight w:hRule="exact" w:val="794"/>
        </w:trPr>
        <w:tc>
          <w:tcPr>
            <w:tcW w:w="7308" w:type="dxa"/>
            <w:shd w:val="clear" w:color="auto" w:fill="auto"/>
          </w:tcPr>
          <w:p w14:paraId="3271B9B6" w14:textId="77777777" w:rsidR="00B96328" w:rsidRPr="00B96328" w:rsidRDefault="00B96328" w:rsidP="00B96328">
            <w:pPr>
              <w:rPr>
                <w:rFonts w:asciiTheme="minorHAnsi" w:hAnsiTheme="minorHAnsi" w:cstheme="minorHAnsi"/>
                <w:b/>
                <w:bCs/>
                <w:sz w:val="24"/>
              </w:rPr>
            </w:pPr>
            <w:bookmarkStart w:id="58" w:name="_Toc406145246"/>
            <w:bookmarkStart w:id="59" w:name="_Toc515973968"/>
            <w:r w:rsidRPr="00B96328">
              <w:rPr>
                <w:rFonts w:asciiTheme="minorHAnsi" w:hAnsiTheme="minorHAnsi" w:cstheme="minorHAnsi"/>
                <w:b/>
                <w:bCs/>
                <w:sz w:val="24"/>
              </w:rPr>
              <w:lastRenderedPageBreak/>
              <w:t xml:space="preserve">Disability Employment Services provider Name: </w:t>
            </w:r>
          </w:p>
          <w:p w14:paraId="4FEE5687" w14:textId="77777777" w:rsidR="00B96328" w:rsidRPr="00B96328" w:rsidRDefault="00B96328" w:rsidP="00B96328">
            <w:pPr>
              <w:rPr>
                <w:rFonts w:asciiTheme="minorHAnsi" w:hAnsiTheme="minorHAnsi" w:cstheme="minorHAnsi"/>
                <w:sz w:val="24"/>
              </w:rPr>
            </w:pPr>
          </w:p>
        </w:tc>
        <w:tc>
          <w:tcPr>
            <w:tcW w:w="360" w:type="dxa"/>
            <w:tcBorders>
              <w:top w:val="nil"/>
              <w:bottom w:val="nil"/>
            </w:tcBorders>
            <w:shd w:val="clear" w:color="auto" w:fill="auto"/>
          </w:tcPr>
          <w:p w14:paraId="057A69F7" w14:textId="77777777" w:rsidR="00B96328" w:rsidRPr="00B96328" w:rsidRDefault="00B96328" w:rsidP="00B96328">
            <w:pPr>
              <w:rPr>
                <w:rFonts w:asciiTheme="minorHAnsi" w:hAnsiTheme="minorHAnsi" w:cstheme="minorHAnsi"/>
                <w:sz w:val="24"/>
              </w:rPr>
            </w:pPr>
          </w:p>
          <w:p w14:paraId="443FD1F1" w14:textId="77777777" w:rsidR="00B96328" w:rsidRPr="00B96328" w:rsidRDefault="00B96328" w:rsidP="00B96328">
            <w:pPr>
              <w:rPr>
                <w:rFonts w:asciiTheme="minorHAnsi" w:hAnsiTheme="minorHAnsi" w:cstheme="minorHAnsi"/>
                <w:sz w:val="24"/>
              </w:rPr>
            </w:pPr>
          </w:p>
        </w:tc>
        <w:tc>
          <w:tcPr>
            <w:tcW w:w="7311" w:type="dxa"/>
            <w:shd w:val="clear" w:color="auto" w:fill="auto"/>
          </w:tcPr>
          <w:p w14:paraId="5F65E0A4" w14:textId="77777777" w:rsidR="00B96328" w:rsidRPr="00B96328" w:rsidRDefault="00B96328" w:rsidP="00B96328">
            <w:pPr>
              <w:rPr>
                <w:rFonts w:asciiTheme="minorHAnsi" w:hAnsiTheme="minorHAnsi" w:cstheme="minorHAnsi"/>
                <w:b/>
                <w:bCs/>
                <w:sz w:val="24"/>
              </w:rPr>
            </w:pPr>
            <w:r w:rsidRPr="00B96328">
              <w:rPr>
                <w:rFonts w:asciiTheme="minorHAnsi" w:hAnsiTheme="minorHAnsi" w:cstheme="minorHAnsi"/>
                <w:b/>
                <w:bCs/>
                <w:sz w:val="24"/>
              </w:rPr>
              <w:t xml:space="preserve">Employment Service Area: </w:t>
            </w:r>
          </w:p>
          <w:p w14:paraId="6267E877" w14:textId="77777777" w:rsidR="00B96328" w:rsidRPr="00B96328" w:rsidRDefault="00B96328" w:rsidP="00B96328">
            <w:pPr>
              <w:rPr>
                <w:rFonts w:asciiTheme="minorHAnsi" w:hAnsiTheme="minorHAnsi" w:cstheme="minorHAnsi"/>
                <w:sz w:val="24"/>
              </w:rPr>
            </w:pPr>
          </w:p>
        </w:tc>
      </w:tr>
      <w:tr w:rsidR="00B96328" w:rsidRPr="00B96328" w14:paraId="2BB6FF88" w14:textId="77777777" w:rsidTr="00B96328">
        <w:trPr>
          <w:trHeight w:hRule="exact" w:val="794"/>
        </w:trPr>
        <w:tc>
          <w:tcPr>
            <w:tcW w:w="7308" w:type="dxa"/>
            <w:shd w:val="clear" w:color="auto" w:fill="auto"/>
          </w:tcPr>
          <w:p w14:paraId="171D276B"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b/>
                <w:bCs/>
                <w:sz w:val="24"/>
              </w:rPr>
              <w:t xml:space="preserve">Disability Employment Services provider Contract ID: </w:t>
            </w:r>
          </w:p>
        </w:tc>
        <w:tc>
          <w:tcPr>
            <w:tcW w:w="360" w:type="dxa"/>
            <w:tcBorders>
              <w:top w:val="nil"/>
              <w:bottom w:val="nil"/>
            </w:tcBorders>
            <w:shd w:val="clear" w:color="auto" w:fill="auto"/>
          </w:tcPr>
          <w:p w14:paraId="547DEFE3" w14:textId="77777777" w:rsidR="00B96328" w:rsidRPr="00B96328" w:rsidRDefault="00B96328" w:rsidP="00B96328">
            <w:pPr>
              <w:rPr>
                <w:rFonts w:asciiTheme="minorHAnsi" w:hAnsiTheme="minorHAnsi" w:cstheme="minorHAnsi"/>
                <w:sz w:val="24"/>
              </w:rPr>
            </w:pPr>
          </w:p>
        </w:tc>
        <w:tc>
          <w:tcPr>
            <w:tcW w:w="7311" w:type="dxa"/>
            <w:shd w:val="clear" w:color="auto" w:fill="auto"/>
          </w:tcPr>
          <w:p w14:paraId="7E68C442" w14:textId="77777777" w:rsidR="00B96328" w:rsidRPr="00B96328" w:rsidRDefault="00B96328" w:rsidP="00B96328">
            <w:pPr>
              <w:rPr>
                <w:rFonts w:asciiTheme="minorHAnsi" w:hAnsiTheme="minorHAnsi" w:cstheme="minorHAnsi"/>
                <w:b/>
                <w:bCs/>
                <w:sz w:val="24"/>
              </w:rPr>
            </w:pPr>
            <w:r w:rsidRPr="00B96328">
              <w:rPr>
                <w:rFonts w:asciiTheme="minorHAnsi" w:hAnsiTheme="minorHAnsi" w:cstheme="minorHAnsi"/>
                <w:b/>
                <w:bCs/>
                <w:sz w:val="24"/>
              </w:rPr>
              <w:t xml:space="preserve">AccessAbility Day Host Organisation: </w:t>
            </w:r>
          </w:p>
          <w:p w14:paraId="143E0E4B" w14:textId="77777777" w:rsidR="00B96328" w:rsidRPr="00B96328" w:rsidRDefault="00B96328" w:rsidP="00B96328">
            <w:pPr>
              <w:rPr>
                <w:rFonts w:asciiTheme="minorHAnsi" w:hAnsiTheme="minorHAnsi" w:cstheme="minorHAnsi"/>
                <w:sz w:val="24"/>
              </w:rPr>
            </w:pPr>
          </w:p>
        </w:tc>
      </w:tr>
      <w:tr w:rsidR="00B96328" w:rsidRPr="00B96328" w14:paraId="42A5F8F7" w14:textId="77777777" w:rsidTr="00B96328">
        <w:trPr>
          <w:trHeight w:hRule="exact" w:val="794"/>
        </w:trPr>
        <w:tc>
          <w:tcPr>
            <w:tcW w:w="7308" w:type="dxa"/>
            <w:shd w:val="clear" w:color="auto" w:fill="auto"/>
          </w:tcPr>
          <w:p w14:paraId="2675C54C" w14:textId="77777777" w:rsidR="00B96328" w:rsidRPr="00B96328" w:rsidRDefault="00B96328" w:rsidP="00B96328">
            <w:pPr>
              <w:rPr>
                <w:rFonts w:asciiTheme="minorHAnsi" w:hAnsiTheme="minorHAnsi" w:cstheme="minorHAnsi"/>
                <w:b/>
                <w:bCs/>
                <w:sz w:val="24"/>
              </w:rPr>
            </w:pPr>
            <w:r w:rsidRPr="00B96328">
              <w:rPr>
                <w:rFonts w:asciiTheme="minorHAnsi" w:hAnsiTheme="minorHAnsi" w:cstheme="minorHAnsi"/>
                <w:b/>
                <w:bCs/>
                <w:sz w:val="24"/>
              </w:rPr>
              <w:t xml:space="preserve">Disability Employment Services provider Contact Person: </w:t>
            </w:r>
          </w:p>
          <w:p w14:paraId="0F1EB3A1" w14:textId="77777777" w:rsidR="00B96328" w:rsidRPr="00B96328" w:rsidRDefault="00B96328" w:rsidP="00B96328">
            <w:pPr>
              <w:rPr>
                <w:rFonts w:asciiTheme="minorHAnsi" w:hAnsiTheme="minorHAnsi" w:cstheme="minorHAnsi"/>
                <w:b/>
                <w:bCs/>
                <w:sz w:val="24"/>
              </w:rPr>
            </w:pPr>
          </w:p>
        </w:tc>
        <w:tc>
          <w:tcPr>
            <w:tcW w:w="360" w:type="dxa"/>
            <w:tcBorders>
              <w:top w:val="nil"/>
              <w:bottom w:val="nil"/>
            </w:tcBorders>
            <w:shd w:val="clear" w:color="auto" w:fill="auto"/>
          </w:tcPr>
          <w:p w14:paraId="27DDD1C0" w14:textId="77777777" w:rsidR="00B96328" w:rsidRPr="00B96328" w:rsidRDefault="00B96328" w:rsidP="00B96328">
            <w:pPr>
              <w:rPr>
                <w:rFonts w:asciiTheme="minorHAnsi" w:hAnsiTheme="minorHAnsi" w:cstheme="minorHAnsi"/>
                <w:b/>
                <w:bCs/>
                <w:sz w:val="24"/>
              </w:rPr>
            </w:pPr>
          </w:p>
          <w:p w14:paraId="03C47750" w14:textId="77777777" w:rsidR="00B96328" w:rsidRPr="00B96328" w:rsidRDefault="00B96328" w:rsidP="00B96328">
            <w:pPr>
              <w:rPr>
                <w:rFonts w:asciiTheme="minorHAnsi" w:hAnsiTheme="minorHAnsi" w:cstheme="minorHAnsi"/>
                <w:b/>
                <w:bCs/>
                <w:sz w:val="24"/>
              </w:rPr>
            </w:pPr>
          </w:p>
        </w:tc>
        <w:tc>
          <w:tcPr>
            <w:tcW w:w="7311" w:type="dxa"/>
            <w:shd w:val="clear" w:color="auto" w:fill="auto"/>
          </w:tcPr>
          <w:p w14:paraId="2321F342" w14:textId="77777777" w:rsidR="00B96328" w:rsidRPr="00B96328" w:rsidRDefault="00B96328" w:rsidP="00B96328">
            <w:pPr>
              <w:rPr>
                <w:rFonts w:asciiTheme="minorHAnsi" w:hAnsiTheme="minorHAnsi" w:cstheme="minorHAnsi"/>
                <w:b/>
                <w:bCs/>
                <w:sz w:val="24"/>
              </w:rPr>
            </w:pPr>
            <w:r w:rsidRPr="00B96328">
              <w:rPr>
                <w:rFonts w:asciiTheme="minorHAnsi" w:hAnsiTheme="minorHAnsi" w:cstheme="minorHAnsi"/>
                <w:b/>
                <w:bCs/>
                <w:sz w:val="24"/>
              </w:rPr>
              <w:t xml:space="preserve">AccessAbility Day Host Organisation contact for this activity: </w:t>
            </w:r>
          </w:p>
          <w:p w14:paraId="687DF17B" w14:textId="77777777" w:rsidR="00B96328" w:rsidRPr="00B96328" w:rsidRDefault="00B96328" w:rsidP="00B96328">
            <w:pPr>
              <w:rPr>
                <w:rFonts w:asciiTheme="minorHAnsi" w:hAnsiTheme="minorHAnsi" w:cstheme="minorHAnsi"/>
                <w:sz w:val="24"/>
              </w:rPr>
            </w:pPr>
          </w:p>
        </w:tc>
      </w:tr>
      <w:tr w:rsidR="00B96328" w:rsidRPr="00B96328" w14:paraId="120F6BCC" w14:textId="77777777" w:rsidTr="00B96328">
        <w:trPr>
          <w:trHeight w:hRule="exact" w:val="465"/>
        </w:trPr>
        <w:tc>
          <w:tcPr>
            <w:tcW w:w="7308" w:type="dxa"/>
            <w:shd w:val="clear" w:color="auto" w:fill="auto"/>
          </w:tcPr>
          <w:p w14:paraId="744CEA2D" w14:textId="77777777" w:rsidR="00B96328" w:rsidRPr="00B96328" w:rsidRDefault="00B96328" w:rsidP="00B96328">
            <w:pPr>
              <w:rPr>
                <w:rFonts w:asciiTheme="minorHAnsi" w:hAnsiTheme="minorHAnsi" w:cstheme="minorHAnsi"/>
                <w:b/>
                <w:bCs/>
                <w:sz w:val="24"/>
              </w:rPr>
            </w:pPr>
            <w:r w:rsidRPr="00B96328">
              <w:rPr>
                <w:rFonts w:asciiTheme="minorHAnsi" w:hAnsiTheme="minorHAnsi" w:cstheme="minorHAnsi"/>
                <w:b/>
                <w:bCs/>
                <w:sz w:val="24"/>
              </w:rPr>
              <w:t xml:space="preserve">Position in organisation: </w:t>
            </w:r>
          </w:p>
          <w:p w14:paraId="45C0C75E" w14:textId="77777777" w:rsidR="00B96328" w:rsidRPr="00B96328" w:rsidRDefault="00B96328" w:rsidP="00B96328">
            <w:pPr>
              <w:rPr>
                <w:rFonts w:asciiTheme="minorHAnsi" w:hAnsiTheme="minorHAnsi" w:cstheme="minorHAnsi"/>
                <w:sz w:val="24"/>
              </w:rPr>
            </w:pPr>
          </w:p>
        </w:tc>
        <w:tc>
          <w:tcPr>
            <w:tcW w:w="360" w:type="dxa"/>
            <w:tcBorders>
              <w:top w:val="nil"/>
              <w:bottom w:val="nil"/>
            </w:tcBorders>
            <w:shd w:val="clear" w:color="auto" w:fill="auto"/>
          </w:tcPr>
          <w:p w14:paraId="0FAD4747" w14:textId="77777777" w:rsidR="00B96328" w:rsidRPr="00B96328" w:rsidRDefault="00B96328" w:rsidP="00B96328">
            <w:pPr>
              <w:rPr>
                <w:rFonts w:asciiTheme="minorHAnsi" w:hAnsiTheme="minorHAnsi" w:cstheme="minorHAnsi"/>
                <w:sz w:val="24"/>
              </w:rPr>
            </w:pPr>
          </w:p>
          <w:p w14:paraId="05943860" w14:textId="77777777" w:rsidR="00B96328" w:rsidRPr="00B96328" w:rsidRDefault="00B96328" w:rsidP="00B96328">
            <w:pPr>
              <w:rPr>
                <w:rFonts w:asciiTheme="minorHAnsi" w:hAnsiTheme="minorHAnsi" w:cstheme="minorHAnsi"/>
                <w:sz w:val="24"/>
              </w:rPr>
            </w:pPr>
          </w:p>
        </w:tc>
        <w:tc>
          <w:tcPr>
            <w:tcW w:w="7311" w:type="dxa"/>
            <w:shd w:val="clear" w:color="auto" w:fill="auto"/>
          </w:tcPr>
          <w:p w14:paraId="22437C97"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b/>
                <w:bCs/>
                <w:sz w:val="24"/>
              </w:rPr>
              <w:t>Telephone:_________________ Fax:_____________________</w:t>
            </w:r>
          </w:p>
        </w:tc>
      </w:tr>
      <w:tr w:rsidR="00B96328" w:rsidRPr="00B96328" w14:paraId="56AA087C" w14:textId="77777777" w:rsidTr="00B96328">
        <w:trPr>
          <w:trHeight w:hRule="exact" w:val="1270"/>
        </w:trPr>
        <w:tc>
          <w:tcPr>
            <w:tcW w:w="7308" w:type="dxa"/>
            <w:shd w:val="clear" w:color="auto" w:fill="auto"/>
          </w:tcPr>
          <w:p w14:paraId="74A73AC3" w14:textId="77777777" w:rsidR="00B96328" w:rsidRPr="00B96328" w:rsidRDefault="00B96328" w:rsidP="00B96328">
            <w:pPr>
              <w:rPr>
                <w:rFonts w:asciiTheme="minorHAnsi" w:hAnsiTheme="minorHAnsi" w:cstheme="minorHAnsi"/>
                <w:b/>
                <w:bCs/>
                <w:sz w:val="24"/>
              </w:rPr>
            </w:pPr>
            <w:r w:rsidRPr="00B96328">
              <w:rPr>
                <w:rFonts w:asciiTheme="minorHAnsi" w:hAnsiTheme="minorHAnsi" w:cstheme="minorHAnsi"/>
                <w:b/>
                <w:bCs/>
                <w:sz w:val="24"/>
              </w:rPr>
              <w:t xml:space="preserve">Telephone:___________________ </w:t>
            </w:r>
            <w:r>
              <w:rPr>
                <w:rFonts w:asciiTheme="minorHAnsi" w:hAnsiTheme="minorHAnsi" w:cstheme="minorHAnsi"/>
                <w:b/>
                <w:bCs/>
                <w:sz w:val="24"/>
              </w:rPr>
              <w:br/>
            </w:r>
          </w:p>
          <w:p w14:paraId="4E8639E2" w14:textId="77777777" w:rsidR="00B96328" w:rsidRPr="00B96328" w:rsidRDefault="00B96328" w:rsidP="00B96328">
            <w:pPr>
              <w:rPr>
                <w:rFonts w:asciiTheme="minorHAnsi" w:hAnsiTheme="minorHAnsi" w:cstheme="minorHAnsi"/>
                <w:b/>
                <w:bCs/>
                <w:sz w:val="24"/>
              </w:rPr>
            </w:pPr>
            <w:r w:rsidRPr="00B96328">
              <w:rPr>
                <w:rFonts w:asciiTheme="minorHAnsi" w:hAnsiTheme="minorHAnsi" w:cstheme="minorHAnsi"/>
                <w:b/>
                <w:bCs/>
                <w:sz w:val="24"/>
              </w:rPr>
              <w:t>Fax: _________________________</w:t>
            </w:r>
          </w:p>
          <w:p w14:paraId="0E677470" w14:textId="77777777" w:rsidR="00B96328" w:rsidRPr="00B96328" w:rsidRDefault="00B96328" w:rsidP="00B96328">
            <w:pPr>
              <w:rPr>
                <w:rFonts w:asciiTheme="minorHAnsi" w:hAnsiTheme="minorHAnsi" w:cstheme="minorHAnsi"/>
                <w:sz w:val="24"/>
              </w:rPr>
            </w:pPr>
          </w:p>
        </w:tc>
        <w:tc>
          <w:tcPr>
            <w:tcW w:w="360" w:type="dxa"/>
            <w:tcBorders>
              <w:top w:val="nil"/>
              <w:bottom w:val="nil"/>
            </w:tcBorders>
            <w:shd w:val="clear" w:color="auto" w:fill="auto"/>
          </w:tcPr>
          <w:p w14:paraId="31EA9E4B" w14:textId="77777777" w:rsidR="00B96328" w:rsidRPr="00B96328" w:rsidRDefault="00B96328" w:rsidP="00B96328">
            <w:pPr>
              <w:rPr>
                <w:rFonts w:asciiTheme="minorHAnsi" w:hAnsiTheme="minorHAnsi" w:cstheme="minorHAnsi"/>
                <w:sz w:val="24"/>
              </w:rPr>
            </w:pPr>
          </w:p>
          <w:p w14:paraId="10C7602A" w14:textId="77777777" w:rsidR="00B96328" w:rsidRPr="00B96328" w:rsidRDefault="00B96328" w:rsidP="00B96328">
            <w:pPr>
              <w:rPr>
                <w:rFonts w:asciiTheme="minorHAnsi" w:hAnsiTheme="minorHAnsi" w:cstheme="minorHAnsi"/>
                <w:sz w:val="24"/>
              </w:rPr>
            </w:pPr>
          </w:p>
        </w:tc>
        <w:tc>
          <w:tcPr>
            <w:tcW w:w="7311" w:type="dxa"/>
            <w:shd w:val="clear" w:color="auto" w:fill="auto"/>
          </w:tcPr>
          <w:p w14:paraId="4BC0F895" w14:textId="77777777" w:rsidR="00B96328" w:rsidRPr="00B96328" w:rsidRDefault="00B96328" w:rsidP="00B96328">
            <w:pPr>
              <w:rPr>
                <w:rFonts w:asciiTheme="minorHAnsi" w:hAnsiTheme="minorHAnsi" w:cstheme="minorHAnsi"/>
                <w:b/>
                <w:bCs/>
                <w:sz w:val="24"/>
              </w:rPr>
            </w:pPr>
            <w:r w:rsidRPr="00B96328">
              <w:rPr>
                <w:rFonts w:asciiTheme="minorHAnsi" w:hAnsiTheme="minorHAnsi" w:cstheme="minorHAnsi"/>
                <w:b/>
                <w:bCs/>
                <w:sz w:val="24"/>
              </w:rPr>
              <w:t>Is this activity permitted under the Departments personal Accident and General and Products liability insurance?</w:t>
            </w:r>
          </w:p>
          <w:p w14:paraId="450D575A" w14:textId="77777777" w:rsidR="00B96328" w:rsidRDefault="00B96328" w:rsidP="00B96328">
            <w:pPr>
              <w:rPr>
                <w:rFonts w:asciiTheme="minorHAnsi" w:hAnsiTheme="minorHAnsi" w:cstheme="minorHAnsi"/>
                <w:b/>
                <w:bCs/>
                <w:sz w:val="24"/>
              </w:rPr>
            </w:pPr>
            <w:r w:rsidRPr="00B96328">
              <w:rPr>
                <w:rFonts w:asciiTheme="minorHAnsi" w:hAnsiTheme="minorHAnsi" w:cstheme="minorHAnsi"/>
                <w:b/>
                <w:bCs/>
                <w:sz w:val="24"/>
              </w:rPr>
              <w:t xml:space="preserve"> </w:t>
            </w:r>
          </w:p>
          <w:p w14:paraId="2BDCEEC3"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sz w:val="24"/>
              </w:rPr>
              <w:t>YES / NO</w:t>
            </w:r>
          </w:p>
          <w:p w14:paraId="55C08B3A"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sz w:val="24"/>
              </w:rPr>
              <w:t xml:space="preserve">  </w:t>
            </w:r>
          </w:p>
        </w:tc>
      </w:tr>
      <w:tr w:rsidR="00B96328" w:rsidRPr="00B96328" w14:paraId="22480F22" w14:textId="77777777" w:rsidTr="00B96328">
        <w:trPr>
          <w:trHeight w:hRule="exact" w:val="987"/>
        </w:trPr>
        <w:tc>
          <w:tcPr>
            <w:tcW w:w="7308" w:type="dxa"/>
            <w:shd w:val="clear" w:color="auto" w:fill="auto"/>
          </w:tcPr>
          <w:p w14:paraId="541463C6"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b/>
                <w:bCs/>
                <w:sz w:val="24"/>
              </w:rPr>
              <w:t xml:space="preserve">Type of Activity: </w:t>
            </w:r>
          </w:p>
        </w:tc>
        <w:tc>
          <w:tcPr>
            <w:tcW w:w="360" w:type="dxa"/>
            <w:tcBorders>
              <w:top w:val="nil"/>
              <w:bottom w:val="nil"/>
            </w:tcBorders>
            <w:shd w:val="clear" w:color="auto" w:fill="auto"/>
          </w:tcPr>
          <w:p w14:paraId="2D447DE5" w14:textId="77777777" w:rsidR="00B96328" w:rsidRPr="00B96328" w:rsidRDefault="00B96328" w:rsidP="00B96328">
            <w:pPr>
              <w:rPr>
                <w:rFonts w:asciiTheme="minorHAnsi" w:hAnsiTheme="minorHAnsi" w:cstheme="minorHAnsi"/>
                <w:sz w:val="24"/>
              </w:rPr>
            </w:pPr>
          </w:p>
          <w:p w14:paraId="379E814D" w14:textId="77777777" w:rsidR="00B96328" w:rsidRPr="00B96328" w:rsidRDefault="00B96328" w:rsidP="00B96328">
            <w:pPr>
              <w:rPr>
                <w:rFonts w:asciiTheme="minorHAnsi" w:hAnsiTheme="minorHAnsi" w:cstheme="minorHAnsi"/>
                <w:sz w:val="24"/>
              </w:rPr>
            </w:pPr>
          </w:p>
          <w:p w14:paraId="56D328E9" w14:textId="77777777" w:rsidR="00B96328" w:rsidRPr="00B96328" w:rsidRDefault="00B96328" w:rsidP="00B96328">
            <w:pPr>
              <w:rPr>
                <w:rFonts w:asciiTheme="minorHAnsi" w:hAnsiTheme="minorHAnsi" w:cstheme="minorHAnsi"/>
                <w:sz w:val="24"/>
              </w:rPr>
            </w:pPr>
          </w:p>
        </w:tc>
        <w:tc>
          <w:tcPr>
            <w:tcW w:w="7311" w:type="dxa"/>
            <w:shd w:val="clear" w:color="auto" w:fill="auto"/>
          </w:tcPr>
          <w:p w14:paraId="7DD5467C"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b/>
                <w:sz w:val="24"/>
              </w:rPr>
              <w:t>Has this Risk Assessment been conducted as part of the initial site monitoring visit for this activity?</w:t>
            </w:r>
          </w:p>
          <w:p w14:paraId="79FE0D10"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sz w:val="24"/>
              </w:rPr>
              <w:t xml:space="preserve"> YES / NO</w:t>
            </w:r>
          </w:p>
        </w:tc>
      </w:tr>
      <w:tr w:rsidR="00B96328" w:rsidRPr="00B96328" w14:paraId="3B910AE9" w14:textId="77777777" w:rsidTr="00B96328">
        <w:trPr>
          <w:trHeight w:hRule="exact" w:val="794"/>
        </w:trPr>
        <w:tc>
          <w:tcPr>
            <w:tcW w:w="7308" w:type="dxa"/>
            <w:shd w:val="clear" w:color="auto" w:fill="auto"/>
          </w:tcPr>
          <w:p w14:paraId="4179499E"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b/>
                <w:bCs/>
                <w:sz w:val="24"/>
              </w:rPr>
              <w:t xml:space="preserve">Name of Activity: </w:t>
            </w:r>
          </w:p>
        </w:tc>
        <w:tc>
          <w:tcPr>
            <w:tcW w:w="360" w:type="dxa"/>
            <w:tcBorders>
              <w:top w:val="nil"/>
              <w:bottom w:val="nil"/>
            </w:tcBorders>
            <w:shd w:val="clear" w:color="auto" w:fill="auto"/>
          </w:tcPr>
          <w:p w14:paraId="650A0A10" w14:textId="77777777" w:rsidR="00B96328" w:rsidRPr="00B96328" w:rsidRDefault="00B96328" w:rsidP="00B96328">
            <w:pPr>
              <w:rPr>
                <w:rFonts w:asciiTheme="minorHAnsi" w:hAnsiTheme="minorHAnsi" w:cstheme="minorHAnsi"/>
                <w:sz w:val="24"/>
              </w:rPr>
            </w:pPr>
          </w:p>
          <w:p w14:paraId="4D30F595" w14:textId="77777777" w:rsidR="00B96328" w:rsidRPr="00B96328" w:rsidRDefault="00B96328" w:rsidP="00B96328">
            <w:pPr>
              <w:rPr>
                <w:rFonts w:asciiTheme="minorHAnsi" w:hAnsiTheme="minorHAnsi" w:cstheme="minorHAnsi"/>
                <w:sz w:val="24"/>
              </w:rPr>
            </w:pPr>
          </w:p>
        </w:tc>
        <w:tc>
          <w:tcPr>
            <w:tcW w:w="7311" w:type="dxa"/>
            <w:shd w:val="clear" w:color="auto" w:fill="auto"/>
          </w:tcPr>
          <w:p w14:paraId="6A4A32F0"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b/>
                <w:sz w:val="24"/>
              </w:rPr>
              <w:t>Have you confirmed there is a safe and healthy work environment?</w:t>
            </w:r>
            <w:r w:rsidRPr="00B96328">
              <w:rPr>
                <w:rFonts w:asciiTheme="minorHAnsi" w:hAnsiTheme="minorHAnsi" w:cstheme="minorHAnsi"/>
                <w:sz w:val="24"/>
              </w:rPr>
              <w:t xml:space="preserve"> YES / NO</w:t>
            </w:r>
          </w:p>
        </w:tc>
      </w:tr>
      <w:tr w:rsidR="00B96328" w:rsidRPr="00B96328" w14:paraId="45C721AE" w14:textId="77777777" w:rsidTr="00B96328">
        <w:trPr>
          <w:trHeight w:hRule="exact" w:val="1020"/>
        </w:trPr>
        <w:tc>
          <w:tcPr>
            <w:tcW w:w="7308" w:type="dxa"/>
            <w:shd w:val="clear" w:color="auto" w:fill="auto"/>
          </w:tcPr>
          <w:p w14:paraId="465C71CC" w14:textId="77777777" w:rsidR="00B96328" w:rsidRPr="00B96328" w:rsidRDefault="00B96328" w:rsidP="00B96328">
            <w:pPr>
              <w:rPr>
                <w:rFonts w:asciiTheme="minorHAnsi" w:hAnsiTheme="minorHAnsi" w:cstheme="minorHAnsi"/>
                <w:b/>
                <w:bCs/>
                <w:sz w:val="24"/>
              </w:rPr>
            </w:pPr>
            <w:r w:rsidRPr="00B96328">
              <w:rPr>
                <w:rFonts w:asciiTheme="minorHAnsi" w:hAnsiTheme="minorHAnsi" w:cstheme="minorHAnsi"/>
                <w:b/>
                <w:bCs/>
                <w:sz w:val="24"/>
              </w:rPr>
              <w:t xml:space="preserve">Location of Activity: </w:t>
            </w:r>
          </w:p>
          <w:p w14:paraId="63868130" w14:textId="77777777" w:rsidR="00B96328" w:rsidRPr="00B96328" w:rsidRDefault="00B96328" w:rsidP="00B96328">
            <w:pPr>
              <w:rPr>
                <w:rFonts w:asciiTheme="minorHAnsi" w:hAnsiTheme="minorHAnsi" w:cstheme="minorHAnsi"/>
                <w:sz w:val="24"/>
              </w:rPr>
            </w:pPr>
          </w:p>
        </w:tc>
        <w:tc>
          <w:tcPr>
            <w:tcW w:w="360" w:type="dxa"/>
            <w:tcBorders>
              <w:top w:val="nil"/>
              <w:bottom w:val="nil"/>
            </w:tcBorders>
            <w:shd w:val="clear" w:color="auto" w:fill="auto"/>
          </w:tcPr>
          <w:p w14:paraId="3A1705B9" w14:textId="77777777" w:rsidR="00B96328" w:rsidRPr="00B96328" w:rsidRDefault="00B96328" w:rsidP="00B96328">
            <w:pPr>
              <w:rPr>
                <w:rFonts w:asciiTheme="minorHAnsi" w:hAnsiTheme="minorHAnsi" w:cstheme="minorHAnsi"/>
                <w:sz w:val="24"/>
              </w:rPr>
            </w:pPr>
          </w:p>
          <w:p w14:paraId="20436AA4" w14:textId="77777777" w:rsidR="00B96328" w:rsidRPr="00B96328" w:rsidRDefault="00B96328" w:rsidP="00B96328">
            <w:pPr>
              <w:rPr>
                <w:rFonts w:asciiTheme="minorHAnsi" w:hAnsiTheme="minorHAnsi" w:cstheme="minorHAnsi"/>
                <w:sz w:val="24"/>
              </w:rPr>
            </w:pPr>
          </w:p>
        </w:tc>
        <w:tc>
          <w:tcPr>
            <w:tcW w:w="7311" w:type="dxa"/>
            <w:shd w:val="clear" w:color="auto" w:fill="auto"/>
          </w:tcPr>
          <w:p w14:paraId="555EE6A6"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b/>
                <w:sz w:val="24"/>
              </w:rPr>
              <w:t xml:space="preserve">Does this activity comply with the AccessAbility Day Disability Employment Services (DES) Provider Guide? </w:t>
            </w:r>
            <w:r w:rsidRPr="00B96328">
              <w:rPr>
                <w:rFonts w:asciiTheme="minorHAnsi" w:hAnsiTheme="minorHAnsi" w:cstheme="minorHAnsi"/>
                <w:sz w:val="24"/>
              </w:rPr>
              <w:t xml:space="preserve"> </w:t>
            </w:r>
          </w:p>
          <w:p w14:paraId="34C35CAD" w14:textId="77777777" w:rsidR="00B96328" w:rsidRPr="00B96328" w:rsidRDefault="00B96328" w:rsidP="00B96328">
            <w:pPr>
              <w:rPr>
                <w:rFonts w:asciiTheme="minorHAnsi" w:hAnsiTheme="minorHAnsi" w:cstheme="minorHAnsi"/>
                <w:sz w:val="24"/>
              </w:rPr>
            </w:pPr>
            <w:r w:rsidRPr="00B96328">
              <w:rPr>
                <w:rFonts w:asciiTheme="minorHAnsi" w:hAnsiTheme="minorHAnsi" w:cstheme="minorHAnsi"/>
                <w:sz w:val="24"/>
              </w:rPr>
              <w:t>YES / NO</w:t>
            </w:r>
          </w:p>
        </w:tc>
      </w:tr>
    </w:tbl>
    <w:p w14:paraId="0363D8F8" w14:textId="77777777" w:rsidR="00B96328" w:rsidRPr="00B96328" w:rsidRDefault="00B96328" w:rsidP="00B96328">
      <w:pPr>
        <w:pStyle w:val="Heading3"/>
        <w:rPr>
          <w:sz w:val="28"/>
          <w:szCs w:val="28"/>
        </w:rPr>
      </w:pPr>
      <w:bookmarkStart w:id="60" w:name="_Toc524616563"/>
      <w:r w:rsidRPr="00B96328">
        <w:rPr>
          <w:sz w:val="28"/>
          <w:szCs w:val="28"/>
        </w:rPr>
        <w:t>AccessAbility Day Risk Assessment F</w:t>
      </w:r>
      <w:bookmarkEnd w:id="58"/>
      <w:r w:rsidRPr="00B96328">
        <w:rPr>
          <w:sz w:val="28"/>
          <w:szCs w:val="28"/>
        </w:rPr>
        <w:t>orm</w:t>
      </w:r>
      <w:bookmarkEnd w:id="59"/>
      <w:bookmarkEnd w:id="60"/>
    </w:p>
    <w:p w14:paraId="288763E2" w14:textId="77777777" w:rsidR="00B96328" w:rsidRPr="00B96328" w:rsidRDefault="00B96328" w:rsidP="00D73821">
      <w:pPr>
        <w:spacing w:before="720"/>
        <w:rPr>
          <w:rFonts w:asciiTheme="majorHAnsi" w:hAnsiTheme="majorHAnsi"/>
          <w:b/>
          <w:bCs/>
        </w:rPr>
      </w:pPr>
    </w:p>
    <w:p w14:paraId="6D0F9B02" w14:textId="77777777" w:rsidR="00B96328" w:rsidRPr="00B96328" w:rsidRDefault="00B96328" w:rsidP="00B96328">
      <w:pPr>
        <w:rPr>
          <w:rFonts w:asciiTheme="minorHAnsi" w:hAnsiTheme="minorHAnsi" w:cstheme="minorHAnsi"/>
          <w:b/>
        </w:rPr>
      </w:pPr>
      <w:r w:rsidRPr="00B96328">
        <w:rPr>
          <w:rFonts w:asciiTheme="minorHAnsi" w:hAnsiTheme="minorHAnsi" w:cstheme="minorHAnsi"/>
          <w:b/>
        </w:rPr>
        <w:t>Date: ______________</w:t>
      </w:r>
    </w:p>
    <w:p w14:paraId="0ABA87A0" w14:textId="77777777" w:rsidR="00B96328" w:rsidRDefault="00B96328" w:rsidP="006B52EA">
      <w:pPr>
        <w:rPr>
          <w:rFonts w:asciiTheme="majorHAnsi" w:hAnsiTheme="majorHAnsi"/>
        </w:rPr>
        <w:sectPr w:rsidR="00B96328" w:rsidSect="008E62FD">
          <w:pgSz w:w="16838" w:h="11906" w:orient="landscape"/>
          <w:pgMar w:top="1135" w:right="1440" w:bottom="1800" w:left="1440" w:header="708" w:footer="231" w:gutter="0"/>
          <w:cols w:space="708"/>
          <w:titlePg/>
          <w:docGrid w:linePitch="360"/>
        </w:sectPr>
      </w:pPr>
    </w:p>
    <w:p w14:paraId="30F1CE2E" w14:textId="77777777" w:rsidR="007D0D92" w:rsidRPr="007D0D92" w:rsidRDefault="007D0D92" w:rsidP="007D0D92">
      <w:pPr>
        <w:tabs>
          <w:tab w:val="left" w:pos="540"/>
        </w:tabs>
        <w:suppressAutoHyphens/>
        <w:spacing w:before="180" w:line="120" w:lineRule="exact"/>
        <w:rPr>
          <w:rFonts w:ascii="Arial" w:eastAsia="Arial" w:hAnsi="Arial"/>
          <w:color w:val="5E6167"/>
          <w:sz w:val="16"/>
          <w:szCs w:val="16"/>
          <w:lang w:eastAsia="en-US"/>
        </w:rPr>
      </w:pPr>
      <w:r w:rsidRPr="007D0D92">
        <w:rPr>
          <w:rFonts w:ascii="Arial" w:eastAsia="Arial" w:hAnsi="Arial"/>
          <w:b/>
          <w:color w:val="5E6167"/>
          <w:sz w:val="16"/>
          <w:szCs w:val="16"/>
          <w:u w:val="single"/>
          <w:lang w:eastAsia="en-US"/>
        </w:rPr>
        <w:lastRenderedPageBreak/>
        <w:t>Note:</w:t>
      </w:r>
      <w:r w:rsidRPr="007D0D92">
        <w:rPr>
          <w:rFonts w:ascii="Arial" w:eastAsia="Arial" w:hAnsi="Arial"/>
          <w:color w:val="5E6167"/>
          <w:sz w:val="16"/>
          <w:szCs w:val="16"/>
          <w:lang w:eastAsia="en-US"/>
        </w:rPr>
        <w:t xml:space="preserve"> </w:t>
      </w:r>
      <w:r w:rsidRPr="007D0D92">
        <w:rPr>
          <w:rFonts w:ascii="Arial" w:eastAsia="Arial" w:hAnsi="Arial"/>
          <w:color w:val="5E6167"/>
          <w:sz w:val="16"/>
          <w:szCs w:val="16"/>
          <w:lang w:eastAsia="en-US"/>
        </w:rPr>
        <w:tab/>
        <w:t xml:space="preserve">This Risk Assessment Form is a </w:t>
      </w:r>
      <w:r w:rsidRPr="007D0D92">
        <w:rPr>
          <w:rFonts w:ascii="Arial" w:eastAsia="Arial" w:hAnsi="Arial"/>
          <w:b/>
          <w:color w:val="5E6167"/>
          <w:sz w:val="16"/>
          <w:szCs w:val="16"/>
          <w:u w:val="single"/>
          <w:lang w:eastAsia="en-US"/>
        </w:rPr>
        <w:t>guide only</w:t>
      </w:r>
      <w:r w:rsidRPr="007D0D92">
        <w:rPr>
          <w:rFonts w:ascii="Arial" w:eastAsia="Arial" w:hAnsi="Arial"/>
          <w:color w:val="5E6167"/>
          <w:sz w:val="16"/>
          <w:szCs w:val="16"/>
          <w:lang w:eastAsia="en-US"/>
        </w:rPr>
        <w:t xml:space="preserve"> and should be used in conjunction with other references such as:</w:t>
      </w:r>
    </w:p>
    <w:p w14:paraId="477F985F" w14:textId="77777777" w:rsidR="007D0D92" w:rsidRPr="007D0D92" w:rsidRDefault="007D0D92" w:rsidP="007D0D92">
      <w:pPr>
        <w:numPr>
          <w:ilvl w:val="0"/>
          <w:numId w:val="19"/>
        </w:numPr>
        <w:suppressAutoHyphens/>
        <w:spacing w:before="180" w:line="120" w:lineRule="exact"/>
        <w:ind w:left="540" w:hanging="540"/>
        <w:rPr>
          <w:rFonts w:ascii="Arial" w:eastAsia="Arial" w:hAnsi="Arial"/>
          <w:color w:val="5E6167"/>
          <w:sz w:val="16"/>
          <w:szCs w:val="16"/>
          <w:lang w:eastAsia="en-US"/>
        </w:rPr>
      </w:pPr>
      <w:r w:rsidRPr="007D0D92">
        <w:rPr>
          <w:rFonts w:ascii="Arial" w:eastAsia="Arial" w:hAnsi="Arial"/>
          <w:color w:val="5E6167"/>
          <w:sz w:val="16"/>
          <w:szCs w:val="16"/>
          <w:lang w:eastAsia="en-US"/>
        </w:rPr>
        <w:t>The Risk Assessment for National Work Experience Programme for Disability Employment Services Guidelines;</w:t>
      </w:r>
    </w:p>
    <w:tbl>
      <w:tblPr>
        <w:tblpPr w:leftFromText="180" w:rightFromText="180" w:vertAnchor="text" w:horzAnchor="margin" w:tblpXSpec="center" w:tblpY="1175"/>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428"/>
        <w:gridCol w:w="2409"/>
        <w:gridCol w:w="1454"/>
        <w:gridCol w:w="2953"/>
        <w:gridCol w:w="1632"/>
        <w:gridCol w:w="2124"/>
        <w:gridCol w:w="1943"/>
      </w:tblGrid>
      <w:tr w:rsidR="007D0D92" w:rsidRPr="007D0D92" w14:paraId="17EBCAFC" w14:textId="77777777" w:rsidTr="007D0D92">
        <w:trPr>
          <w:cantSplit/>
          <w:trHeight w:val="252"/>
        </w:trPr>
        <w:tc>
          <w:tcPr>
            <w:tcW w:w="717" w:type="dxa"/>
            <w:vMerge w:val="restart"/>
            <w:shd w:val="clear" w:color="auto" w:fill="CCCCCC"/>
          </w:tcPr>
          <w:p w14:paraId="0505504E" w14:textId="77777777" w:rsidR="007D0D92" w:rsidRPr="007D0D92" w:rsidRDefault="007D0D92" w:rsidP="007D0D92">
            <w:pPr>
              <w:suppressAutoHyphens/>
              <w:spacing w:before="40" w:after="80" w:line="280" w:lineRule="exact"/>
              <w:rPr>
                <w:rFonts w:ascii="Arial" w:eastAsia="Arial" w:hAnsi="Arial"/>
                <w:b/>
                <w:color w:val="5E6167"/>
                <w:sz w:val="20"/>
                <w:szCs w:val="20"/>
                <w:lang w:eastAsia="en-US"/>
              </w:rPr>
            </w:pPr>
            <w:r w:rsidRPr="007D0D92">
              <w:rPr>
                <w:rFonts w:ascii="Arial" w:eastAsia="Arial" w:hAnsi="Arial"/>
                <w:b/>
                <w:color w:val="5E6167"/>
                <w:sz w:val="20"/>
                <w:szCs w:val="20"/>
                <w:lang w:eastAsia="en-US"/>
              </w:rPr>
              <w:t>Date</w:t>
            </w:r>
          </w:p>
        </w:tc>
        <w:tc>
          <w:tcPr>
            <w:tcW w:w="2428" w:type="dxa"/>
            <w:vMerge w:val="restart"/>
            <w:shd w:val="clear" w:color="auto" w:fill="CCCCCC"/>
          </w:tcPr>
          <w:p w14:paraId="37E66101" w14:textId="77777777" w:rsidR="007D0D92" w:rsidRPr="007D0D92" w:rsidRDefault="007D0D92" w:rsidP="007D0D92">
            <w:pPr>
              <w:suppressAutoHyphens/>
              <w:spacing w:before="40" w:after="80" w:line="280" w:lineRule="exact"/>
              <w:rPr>
                <w:rFonts w:ascii="Arial" w:eastAsia="Arial" w:hAnsi="Arial"/>
                <w:b/>
                <w:color w:val="5E6167"/>
                <w:sz w:val="20"/>
                <w:szCs w:val="20"/>
                <w:lang w:eastAsia="en-US"/>
              </w:rPr>
            </w:pPr>
            <w:r w:rsidRPr="007D0D92">
              <w:rPr>
                <w:rFonts w:ascii="Arial" w:eastAsia="Arial" w:hAnsi="Arial"/>
                <w:b/>
                <w:color w:val="5E6167"/>
                <w:sz w:val="20"/>
                <w:szCs w:val="20"/>
                <w:lang w:eastAsia="en-US"/>
              </w:rPr>
              <w:t>Risk Description</w:t>
            </w:r>
          </w:p>
          <w:p w14:paraId="1C2444B3" w14:textId="77777777" w:rsidR="007D0D92" w:rsidRPr="007D0D92" w:rsidRDefault="007D0D92" w:rsidP="007D0D92">
            <w:pPr>
              <w:suppressAutoHyphens/>
              <w:spacing w:before="40" w:after="80" w:line="280" w:lineRule="exact"/>
              <w:rPr>
                <w:rFonts w:ascii="Arial" w:eastAsia="Arial" w:hAnsi="Arial"/>
                <w:b/>
                <w:color w:val="5E6167"/>
                <w:sz w:val="20"/>
                <w:szCs w:val="20"/>
                <w:highlight w:val="yellow"/>
                <w:lang w:eastAsia="en-US"/>
              </w:rPr>
            </w:pPr>
            <w:r w:rsidRPr="007D0D92">
              <w:rPr>
                <w:rFonts w:ascii="Arial" w:eastAsia="Arial" w:hAnsi="Arial"/>
                <w:b/>
                <w:i/>
                <w:color w:val="5E6167"/>
                <w:sz w:val="20"/>
                <w:szCs w:val="20"/>
                <w:lang w:eastAsia="en-US"/>
              </w:rPr>
              <w:t>(including type e.g. organisational/Activity)</w:t>
            </w:r>
          </w:p>
        </w:tc>
        <w:tc>
          <w:tcPr>
            <w:tcW w:w="2409" w:type="dxa"/>
            <w:vMerge w:val="restart"/>
            <w:shd w:val="clear" w:color="auto" w:fill="CCCCCC"/>
          </w:tcPr>
          <w:p w14:paraId="366C38A1" w14:textId="77777777" w:rsidR="007D0D92" w:rsidRPr="007D0D92" w:rsidRDefault="007D0D92" w:rsidP="007D0D92">
            <w:pPr>
              <w:suppressAutoHyphens/>
              <w:spacing w:before="40" w:after="80" w:line="280" w:lineRule="exact"/>
              <w:rPr>
                <w:rFonts w:ascii="Arial" w:eastAsia="Arial" w:hAnsi="Arial"/>
                <w:b/>
                <w:color w:val="5E6167"/>
                <w:sz w:val="20"/>
                <w:szCs w:val="20"/>
                <w:highlight w:val="yellow"/>
                <w:lang w:eastAsia="en-US"/>
              </w:rPr>
            </w:pPr>
            <w:r w:rsidRPr="007D0D92">
              <w:rPr>
                <w:rFonts w:ascii="Arial" w:eastAsia="Arial" w:hAnsi="Arial"/>
                <w:b/>
                <w:color w:val="5E6167"/>
                <w:sz w:val="20"/>
                <w:szCs w:val="20"/>
                <w:lang w:eastAsia="en-US"/>
              </w:rPr>
              <w:t>Potential Impact/Hazards</w:t>
            </w:r>
          </w:p>
        </w:tc>
        <w:tc>
          <w:tcPr>
            <w:tcW w:w="1454" w:type="dxa"/>
            <w:vMerge w:val="restart"/>
            <w:shd w:val="clear" w:color="auto" w:fill="CCCCCC"/>
          </w:tcPr>
          <w:p w14:paraId="70C55BC4" w14:textId="77777777" w:rsidR="007D0D92" w:rsidRPr="007D0D92" w:rsidRDefault="007D0D92" w:rsidP="007D0D92">
            <w:pPr>
              <w:suppressAutoHyphens/>
              <w:spacing w:before="40" w:after="80" w:line="280" w:lineRule="exact"/>
              <w:rPr>
                <w:rFonts w:ascii="Arial" w:eastAsia="Arial" w:hAnsi="Arial"/>
                <w:b/>
                <w:color w:val="5E6167"/>
                <w:sz w:val="20"/>
                <w:szCs w:val="20"/>
                <w:lang w:eastAsia="en-US"/>
              </w:rPr>
            </w:pPr>
            <w:r w:rsidRPr="007D0D92">
              <w:rPr>
                <w:rFonts w:ascii="Arial" w:eastAsia="Arial" w:hAnsi="Arial"/>
                <w:b/>
                <w:color w:val="5E6167"/>
                <w:sz w:val="20"/>
                <w:szCs w:val="20"/>
                <w:lang w:eastAsia="en-US"/>
              </w:rPr>
              <w:t>Risk Rating</w:t>
            </w:r>
          </w:p>
          <w:p w14:paraId="5E5E61E4" w14:textId="77777777" w:rsidR="007D0D92" w:rsidRPr="007D0D92" w:rsidRDefault="007D0D92" w:rsidP="007D0D92">
            <w:pPr>
              <w:suppressAutoHyphens/>
              <w:spacing w:before="40" w:after="80" w:line="280" w:lineRule="exact"/>
              <w:rPr>
                <w:rFonts w:ascii="Arial" w:eastAsia="Arial" w:hAnsi="Arial"/>
                <w:b/>
                <w:color w:val="5E6167"/>
                <w:sz w:val="20"/>
                <w:szCs w:val="20"/>
                <w:lang w:eastAsia="en-US"/>
              </w:rPr>
            </w:pPr>
            <w:r w:rsidRPr="007D0D92">
              <w:rPr>
                <w:rFonts w:ascii="Arial" w:eastAsia="Arial" w:hAnsi="Arial"/>
                <w:b/>
                <w:color w:val="5E6167"/>
                <w:sz w:val="20"/>
                <w:szCs w:val="20"/>
                <w:lang w:eastAsia="en-US"/>
              </w:rPr>
              <w:t>E, H, M, L</w:t>
            </w:r>
          </w:p>
          <w:p w14:paraId="65DE530C" w14:textId="77777777" w:rsidR="007D0D92" w:rsidRPr="007D0D92" w:rsidRDefault="007D0D92" w:rsidP="007D0D92">
            <w:pPr>
              <w:suppressAutoHyphens/>
              <w:spacing w:before="40" w:after="80" w:line="280" w:lineRule="exact"/>
              <w:rPr>
                <w:rFonts w:ascii="Arial" w:eastAsia="Arial" w:hAnsi="Arial"/>
                <w:i/>
                <w:color w:val="5E6167"/>
                <w:sz w:val="20"/>
                <w:szCs w:val="20"/>
                <w:highlight w:val="yellow"/>
                <w:lang w:eastAsia="en-US"/>
              </w:rPr>
            </w:pPr>
            <w:r w:rsidRPr="007D0D92">
              <w:rPr>
                <w:rFonts w:ascii="Arial" w:eastAsia="Arial" w:hAnsi="Arial"/>
                <w:b/>
                <w:i/>
                <w:color w:val="5E6167"/>
                <w:sz w:val="20"/>
                <w:szCs w:val="20"/>
                <w:lang w:eastAsia="en-US"/>
              </w:rPr>
              <w:t>(See Attachment A)</w:t>
            </w:r>
          </w:p>
        </w:tc>
        <w:tc>
          <w:tcPr>
            <w:tcW w:w="2953" w:type="dxa"/>
            <w:vMerge w:val="restart"/>
            <w:shd w:val="clear" w:color="auto" w:fill="CCCCCC"/>
          </w:tcPr>
          <w:p w14:paraId="1D24F0CB" w14:textId="77777777" w:rsidR="007D0D92" w:rsidRPr="007D0D92" w:rsidRDefault="007D0D92" w:rsidP="007D0D92">
            <w:pPr>
              <w:suppressAutoHyphens/>
              <w:spacing w:before="40" w:after="80" w:line="280" w:lineRule="exact"/>
              <w:rPr>
                <w:rFonts w:ascii="Arial" w:eastAsia="Arial" w:hAnsi="Arial"/>
                <w:b/>
                <w:color w:val="5E6167"/>
                <w:sz w:val="20"/>
                <w:szCs w:val="20"/>
                <w:highlight w:val="yellow"/>
                <w:lang w:eastAsia="en-US"/>
              </w:rPr>
            </w:pPr>
            <w:r w:rsidRPr="007D0D92">
              <w:rPr>
                <w:rFonts w:ascii="Arial" w:eastAsia="Arial" w:hAnsi="Arial"/>
                <w:b/>
                <w:color w:val="5E6167"/>
                <w:sz w:val="20"/>
                <w:szCs w:val="20"/>
                <w:lang w:eastAsia="en-US"/>
              </w:rPr>
              <w:t>Control Measures/Methods to mitigate risks.</w:t>
            </w:r>
          </w:p>
        </w:tc>
        <w:tc>
          <w:tcPr>
            <w:tcW w:w="5699" w:type="dxa"/>
            <w:gridSpan w:val="3"/>
            <w:shd w:val="clear" w:color="auto" w:fill="B3B3B3"/>
          </w:tcPr>
          <w:p w14:paraId="2D3651C5" w14:textId="77777777" w:rsidR="007D0D92" w:rsidRPr="007D0D92" w:rsidRDefault="007D0D92" w:rsidP="007D0D92">
            <w:pPr>
              <w:suppressAutoHyphens/>
              <w:spacing w:before="40" w:after="80" w:line="280" w:lineRule="exact"/>
              <w:jc w:val="center"/>
              <w:rPr>
                <w:rFonts w:ascii="Arial" w:eastAsia="Arial" w:hAnsi="Arial"/>
                <w:b/>
                <w:color w:val="5E6167"/>
                <w:sz w:val="20"/>
                <w:szCs w:val="20"/>
                <w:highlight w:val="yellow"/>
                <w:lang w:eastAsia="en-US"/>
              </w:rPr>
            </w:pPr>
            <w:r w:rsidRPr="007D0D92">
              <w:rPr>
                <w:rFonts w:ascii="Arial" w:eastAsia="Arial" w:hAnsi="Arial"/>
                <w:b/>
                <w:color w:val="5E6167"/>
                <w:sz w:val="20"/>
                <w:szCs w:val="20"/>
                <w:lang w:eastAsia="en-US"/>
              </w:rPr>
              <w:t>For DES provider monitoring purposes only</w:t>
            </w:r>
          </w:p>
        </w:tc>
      </w:tr>
      <w:tr w:rsidR="007D0D92" w:rsidRPr="007D0D92" w14:paraId="63D2CD80" w14:textId="77777777" w:rsidTr="007D0D92">
        <w:trPr>
          <w:trHeight w:val="877"/>
        </w:trPr>
        <w:tc>
          <w:tcPr>
            <w:tcW w:w="717" w:type="dxa"/>
            <w:vMerge/>
            <w:shd w:val="clear" w:color="auto" w:fill="auto"/>
          </w:tcPr>
          <w:p w14:paraId="4BD6E5E9" w14:textId="77777777" w:rsidR="007D0D92" w:rsidRPr="007D0D92" w:rsidRDefault="007D0D92" w:rsidP="007D0D92">
            <w:pPr>
              <w:suppressAutoHyphens/>
              <w:spacing w:before="180" w:after="80" w:line="280" w:lineRule="exact"/>
              <w:rPr>
                <w:rFonts w:ascii="Arial" w:eastAsia="Arial" w:hAnsi="Arial"/>
                <w:color w:val="5E6167"/>
                <w:sz w:val="24"/>
                <w:szCs w:val="22"/>
                <w:highlight w:val="yellow"/>
                <w:lang w:eastAsia="en-US"/>
              </w:rPr>
            </w:pPr>
          </w:p>
        </w:tc>
        <w:tc>
          <w:tcPr>
            <w:tcW w:w="2428" w:type="dxa"/>
            <w:vMerge/>
            <w:shd w:val="clear" w:color="auto" w:fill="auto"/>
          </w:tcPr>
          <w:p w14:paraId="0E3EF69C" w14:textId="77777777" w:rsidR="007D0D92" w:rsidRPr="007D0D92" w:rsidRDefault="007D0D92" w:rsidP="007D0D92">
            <w:pPr>
              <w:suppressAutoHyphens/>
              <w:spacing w:before="180" w:after="80" w:line="280" w:lineRule="exact"/>
              <w:rPr>
                <w:rFonts w:ascii="Arial" w:eastAsia="Arial" w:hAnsi="Arial"/>
                <w:color w:val="5E6167"/>
                <w:sz w:val="24"/>
                <w:szCs w:val="22"/>
                <w:highlight w:val="yellow"/>
                <w:lang w:eastAsia="en-US"/>
              </w:rPr>
            </w:pPr>
          </w:p>
        </w:tc>
        <w:tc>
          <w:tcPr>
            <w:tcW w:w="2409" w:type="dxa"/>
            <w:vMerge/>
            <w:shd w:val="clear" w:color="auto" w:fill="auto"/>
          </w:tcPr>
          <w:p w14:paraId="208785C8" w14:textId="77777777" w:rsidR="007D0D92" w:rsidRPr="007D0D92" w:rsidRDefault="007D0D92" w:rsidP="007D0D92">
            <w:pPr>
              <w:suppressAutoHyphens/>
              <w:spacing w:before="180" w:after="80" w:line="280" w:lineRule="exact"/>
              <w:rPr>
                <w:rFonts w:ascii="Arial" w:eastAsia="Arial" w:hAnsi="Arial"/>
                <w:color w:val="5E6167"/>
                <w:sz w:val="24"/>
                <w:szCs w:val="22"/>
                <w:highlight w:val="yellow"/>
                <w:lang w:eastAsia="en-US"/>
              </w:rPr>
            </w:pPr>
          </w:p>
        </w:tc>
        <w:tc>
          <w:tcPr>
            <w:tcW w:w="1454" w:type="dxa"/>
            <w:vMerge/>
            <w:shd w:val="clear" w:color="auto" w:fill="auto"/>
          </w:tcPr>
          <w:p w14:paraId="0A240B99" w14:textId="77777777" w:rsidR="007D0D92" w:rsidRPr="007D0D92" w:rsidRDefault="007D0D92" w:rsidP="007D0D92">
            <w:pPr>
              <w:suppressAutoHyphens/>
              <w:spacing w:before="180" w:after="80" w:line="280" w:lineRule="exact"/>
              <w:rPr>
                <w:rFonts w:ascii="Arial" w:eastAsia="Arial" w:hAnsi="Arial"/>
                <w:color w:val="5E6167"/>
                <w:sz w:val="24"/>
                <w:szCs w:val="22"/>
                <w:highlight w:val="yellow"/>
                <w:lang w:eastAsia="en-US"/>
              </w:rPr>
            </w:pPr>
          </w:p>
        </w:tc>
        <w:tc>
          <w:tcPr>
            <w:tcW w:w="2953" w:type="dxa"/>
            <w:vMerge/>
            <w:shd w:val="clear" w:color="auto" w:fill="auto"/>
          </w:tcPr>
          <w:p w14:paraId="23DD9A11" w14:textId="77777777" w:rsidR="007D0D92" w:rsidRPr="007D0D92" w:rsidRDefault="007D0D92" w:rsidP="007D0D92">
            <w:pPr>
              <w:suppressAutoHyphens/>
              <w:spacing w:before="180" w:after="80" w:line="280" w:lineRule="exact"/>
              <w:rPr>
                <w:rFonts w:ascii="Arial" w:eastAsia="Arial" w:hAnsi="Arial"/>
                <w:color w:val="5E6167"/>
                <w:sz w:val="24"/>
                <w:szCs w:val="22"/>
                <w:highlight w:val="yellow"/>
                <w:lang w:eastAsia="en-US"/>
              </w:rPr>
            </w:pPr>
          </w:p>
        </w:tc>
        <w:tc>
          <w:tcPr>
            <w:tcW w:w="1632" w:type="dxa"/>
            <w:shd w:val="clear" w:color="auto" w:fill="B3B3B3"/>
          </w:tcPr>
          <w:p w14:paraId="076C3B79" w14:textId="77777777" w:rsidR="007D0D92" w:rsidRPr="007D0D92" w:rsidRDefault="007D0D92" w:rsidP="007D0D92">
            <w:pPr>
              <w:suppressAutoHyphens/>
              <w:spacing w:before="40" w:after="80" w:line="280" w:lineRule="exact"/>
              <w:jc w:val="center"/>
              <w:rPr>
                <w:rFonts w:ascii="Arial" w:eastAsia="Arial" w:hAnsi="Arial"/>
                <w:b/>
                <w:color w:val="5E6167"/>
                <w:sz w:val="20"/>
                <w:szCs w:val="20"/>
                <w:lang w:eastAsia="en-US"/>
              </w:rPr>
            </w:pPr>
            <w:r w:rsidRPr="007D0D92">
              <w:rPr>
                <w:rFonts w:ascii="Arial" w:eastAsia="Arial" w:hAnsi="Arial"/>
                <w:b/>
                <w:color w:val="5E6167"/>
                <w:sz w:val="20"/>
                <w:szCs w:val="20"/>
                <w:lang w:eastAsia="en-US"/>
              </w:rPr>
              <w:t>Control measure in place?</w:t>
            </w:r>
          </w:p>
          <w:p w14:paraId="5E323466" w14:textId="77777777" w:rsidR="007D0D92" w:rsidRPr="007D0D92" w:rsidRDefault="007D0D92" w:rsidP="007D0D92">
            <w:pPr>
              <w:suppressAutoHyphens/>
              <w:spacing w:before="40" w:after="80" w:line="280" w:lineRule="exact"/>
              <w:jc w:val="center"/>
              <w:rPr>
                <w:rFonts w:ascii="Arial" w:eastAsia="Arial" w:hAnsi="Arial"/>
                <w:color w:val="5E6167"/>
                <w:sz w:val="20"/>
                <w:szCs w:val="20"/>
                <w:highlight w:val="yellow"/>
                <w:lang w:eastAsia="en-US"/>
              </w:rPr>
            </w:pPr>
            <w:r w:rsidRPr="007D0D92">
              <w:rPr>
                <w:rFonts w:ascii="Arial" w:eastAsia="Arial" w:hAnsi="Arial"/>
                <w:b/>
                <w:color w:val="5E6167"/>
                <w:sz w:val="20"/>
                <w:szCs w:val="20"/>
                <w:lang w:eastAsia="en-US"/>
              </w:rPr>
              <w:t>Y/N</w:t>
            </w:r>
          </w:p>
        </w:tc>
        <w:tc>
          <w:tcPr>
            <w:tcW w:w="2124" w:type="dxa"/>
            <w:shd w:val="clear" w:color="auto" w:fill="B3B3B3"/>
          </w:tcPr>
          <w:p w14:paraId="471103AC" w14:textId="77777777" w:rsidR="007D0D92" w:rsidRPr="007D0D92" w:rsidRDefault="007D0D92" w:rsidP="007D0D92">
            <w:pPr>
              <w:suppressAutoHyphens/>
              <w:spacing w:before="40" w:after="80" w:line="280" w:lineRule="exact"/>
              <w:jc w:val="center"/>
              <w:rPr>
                <w:rFonts w:ascii="Arial" w:eastAsia="Arial" w:hAnsi="Arial"/>
                <w:b/>
                <w:color w:val="5E6167"/>
                <w:sz w:val="20"/>
                <w:szCs w:val="20"/>
                <w:lang w:eastAsia="en-US"/>
              </w:rPr>
            </w:pPr>
            <w:r w:rsidRPr="007D0D92">
              <w:rPr>
                <w:rFonts w:ascii="Arial" w:eastAsia="Arial" w:hAnsi="Arial"/>
                <w:b/>
                <w:color w:val="5E6167"/>
                <w:sz w:val="20"/>
                <w:szCs w:val="20"/>
                <w:lang w:eastAsia="en-US"/>
              </w:rPr>
              <w:t xml:space="preserve">Monitoring Frequency </w:t>
            </w:r>
          </w:p>
          <w:p w14:paraId="72C6B66C" w14:textId="77777777" w:rsidR="007D0D92" w:rsidRPr="007D0D92" w:rsidRDefault="007D0D92" w:rsidP="007D0D92">
            <w:pPr>
              <w:suppressAutoHyphens/>
              <w:spacing w:before="40" w:after="80" w:line="280" w:lineRule="exact"/>
              <w:jc w:val="center"/>
              <w:rPr>
                <w:rFonts w:ascii="Arial" w:eastAsia="Arial" w:hAnsi="Arial"/>
                <w:b/>
                <w:color w:val="5E6167"/>
                <w:sz w:val="20"/>
                <w:szCs w:val="20"/>
                <w:lang w:eastAsia="en-US"/>
              </w:rPr>
            </w:pPr>
            <w:r w:rsidRPr="007D0D92">
              <w:rPr>
                <w:rFonts w:ascii="Arial" w:eastAsia="Arial" w:hAnsi="Arial"/>
                <w:b/>
                <w:color w:val="5E6167"/>
                <w:sz w:val="20"/>
                <w:szCs w:val="20"/>
                <w:lang w:eastAsia="en-US"/>
              </w:rPr>
              <w:t>(to ensure risk is not escalated)</w:t>
            </w:r>
          </w:p>
        </w:tc>
        <w:tc>
          <w:tcPr>
            <w:tcW w:w="1943" w:type="dxa"/>
            <w:shd w:val="clear" w:color="auto" w:fill="B3B3B3"/>
          </w:tcPr>
          <w:p w14:paraId="4C513E60" w14:textId="77777777" w:rsidR="007D0D92" w:rsidRPr="007D0D92" w:rsidRDefault="007D0D92" w:rsidP="007D0D92">
            <w:pPr>
              <w:suppressAutoHyphens/>
              <w:spacing w:before="40" w:after="80" w:line="280" w:lineRule="exact"/>
              <w:jc w:val="center"/>
              <w:rPr>
                <w:rFonts w:ascii="Arial" w:eastAsia="Arial" w:hAnsi="Arial"/>
                <w:b/>
                <w:color w:val="5E6167"/>
                <w:sz w:val="20"/>
                <w:szCs w:val="20"/>
                <w:highlight w:val="yellow"/>
                <w:lang w:eastAsia="en-US"/>
              </w:rPr>
            </w:pPr>
            <w:r w:rsidRPr="007D0D92">
              <w:rPr>
                <w:rFonts w:ascii="Arial" w:eastAsia="Arial" w:hAnsi="Arial"/>
                <w:b/>
                <w:color w:val="5E6167"/>
                <w:sz w:val="20"/>
                <w:szCs w:val="20"/>
                <w:lang w:eastAsia="en-US"/>
              </w:rPr>
              <w:t>Action taken if control measure not in place</w:t>
            </w:r>
          </w:p>
        </w:tc>
      </w:tr>
      <w:tr w:rsidR="007D0D92" w:rsidRPr="007D0D92" w14:paraId="009B22ED" w14:textId="77777777" w:rsidTr="007D0D92">
        <w:trPr>
          <w:trHeight w:val="1065"/>
        </w:trPr>
        <w:tc>
          <w:tcPr>
            <w:tcW w:w="717" w:type="dxa"/>
            <w:shd w:val="clear" w:color="auto" w:fill="auto"/>
          </w:tcPr>
          <w:p w14:paraId="2922A588"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28" w:type="dxa"/>
            <w:shd w:val="clear" w:color="auto" w:fill="auto"/>
          </w:tcPr>
          <w:p w14:paraId="313519D0"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09" w:type="dxa"/>
            <w:shd w:val="clear" w:color="auto" w:fill="auto"/>
          </w:tcPr>
          <w:p w14:paraId="5D2C1E5F"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454" w:type="dxa"/>
            <w:shd w:val="clear" w:color="auto" w:fill="auto"/>
          </w:tcPr>
          <w:p w14:paraId="00960C3D"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953" w:type="dxa"/>
            <w:shd w:val="clear" w:color="auto" w:fill="auto"/>
          </w:tcPr>
          <w:p w14:paraId="17603EF4"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632" w:type="dxa"/>
            <w:shd w:val="clear" w:color="auto" w:fill="auto"/>
          </w:tcPr>
          <w:p w14:paraId="625BD25C"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124" w:type="dxa"/>
            <w:shd w:val="clear" w:color="auto" w:fill="auto"/>
          </w:tcPr>
          <w:p w14:paraId="77A1EFD8"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943" w:type="dxa"/>
            <w:shd w:val="clear" w:color="auto" w:fill="auto"/>
          </w:tcPr>
          <w:p w14:paraId="1A7B2084"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r>
      <w:tr w:rsidR="007D0D92" w:rsidRPr="007D0D92" w14:paraId="61A0C08F" w14:textId="77777777" w:rsidTr="007D0D92">
        <w:trPr>
          <w:trHeight w:val="1065"/>
        </w:trPr>
        <w:tc>
          <w:tcPr>
            <w:tcW w:w="717" w:type="dxa"/>
            <w:shd w:val="clear" w:color="auto" w:fill="auto"/>
          </w:tcPr>
          <w:p w14:paraId="5A978FB3"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28" w:type="dxa"/>
            <w:shd w:val="clear" w:color="auto" w:fill="auto"/>
          </w:tcPr>
          <w:p w14:paraId="0370A950"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09" w:type="dxa"/>
            <w:shd w:val="clear" w:color="auto" w:fill="auto"/>
          </w:tcPr>
          <w:p w14:paraId="141C147E"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454" w:type="dxa"/>
            <w:shd w:val="clear" w:color="auto" w:fill="auto"/>
          </w:tcPr>
          <w:p w14:paraId="144AE29E"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953" w:type="dxa"/>
            <w:shd w:val="clear" w:color="auto" w:fill="auto"/>
          </w:tcPr>
          <w:p w14:paraId="17E48DC2"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632" w:type="dxa"/>
            <w:shd w:val="clear" w:color="auto" w:fill="auto"/>
          </w:tcPr>
          <w:p w14:paraId="361F1475"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124" w:type="dxa"/>
            <w:shd w:val="clear" w:color="auto" w:fill="auto"/>
          </w:tcPr>
          <w:p w14:paraId="6160A332"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943" w:type="dxa"/>
            <w:shd w:val="clear" w:color="auto" w:fill="auto"/>
          </w:tcPr>
          <w:p w14:paraId="53619512"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r>
      <w:tr w:rsidR="007D0D92" w:rsidRPr="007D0D92" w14:paraId="2C50CEE6" w14:textId="77777777" w:rsidTr="007D0D92">
        <w:trPr>
          <w:trHeight w:val="1065"/>
        </w:trPr>
        <w:tc>
          <w:tcPr>
            <w:tcW w:w="717" w:type="dxa"/>
            <w:shd w:val="clear" w:color="auto" w:fill="auto"/>
          </w:tcPr>
          <w:p w14:paraId="6F0812CD"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28" w:type="dxa"/>
            <w:shd w:val="clear" w:color="auto" w:fill="auto"/>
          </w:tcPr>
          <w:p w14:paraId="23C62F0C"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09" w:type="dxa"/>
            <w:shd w:val="clear" w:color="auto" w:fill="auto"/>
          </w:tcPr>
          <w:p w14:paraId="05079A7B"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454" w:type="dxa"/>
            <w:shd w:val="clear" w:color="auto" w:fill="auto"/>
          </w:tcPr>
          <w:p w14:paraId="0FBE203A"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953" w:type="dxa"/>
            <w:shd w:val="clear" w:color="auto" w:fill="auto"/>
          </w:tcPr>
          <w:p w14:paraId="0BE705C0"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632" w:type="dxa"/>
            <w:shd w:val="clear" w:color="auto" w:fill="auto"/>
          </w:tcPr>
          <w:p w14:paraId="38D43E76"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124" w:type="dxa"/>
            <w:shd w:val="clear" w:color="auto" w:fill="auto"/>
          </w:tcPr>
          <w:p w14:paraId="416D190C"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943" w:type="dxa"/>
            <w:shd w:val="clear" w:color="auto" w:fill="auto"/>
          </w:tcPr>
          <w:p w14:paraId="1166B595"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r>
      <w:tr w:rsidR="007D0D92" w:rsidRPr="007D0D92" w14:paraId="1B505752" w14:textId="77777777" w:rsidTr="007D0D92">
        <w:trPr>
          <w:trHeight w:val="1065"/>
        </w:trPr>
        <w:tc>
          <w:tcPr>
            <w:tcW w:w="717" w:type="dxa"/>
            <w:shd w:val="clear" w:color="auto" w:fill="auto"/>
          </w:tcPr>
          <w:p w14:paraId="331E291E"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28" w:type="dxa"/>
            <w:shd w:val="clear" w:color="auto" w:fill="auto"/>
          </w:tcPr>
          <w:p w14:paraId="271C3C64"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09" w:type="dxa"/>
            <w:shd w:val="clear" w:color="auto" w:fill="auto"/>
          </w:tcPr>
          <w:p w14:paraId="01458FAA"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454" w:type="dxa"/>
            <w:shd w:val="clear" w:color="auto" w:fill="auto"/>
          </w:tcPr>
          <w:p w14:paraId="64A51D3C"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953" w:type="dxa"/>
            <w:shd w:val="clear" w:color="auto" w:fill="auto"/>
          </w:tcPr>
          <w:p w14:paraId="2D5F74A5"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632" w:type="dxa"/>
            <w:shd w:val="clear" w:color="auto" w:fill="auto"/>
          </w:tcPr>
          <w:p w14:paraId="420AA7D2"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124" w:type="dxa"/>
            <w:shd w:val="clear" w:color="auto" w:fill="auto"/>
          </w:tcPr>
          <w:p w14:paraId="2DD500E0"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943" w:type="dxa"/>
            <w:shd w:val="clear" w:color="auto" w:fill="auto"/>
          </w:tcPr>
          <w:p w14:paraId="5F8F6631"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r>
      <w:tr w:rsidR="007D0D92" w:rsidRPr="007D0D92" w14:paraId="6387EE23" w14:textId="77777777" w:rsidTr="007D0D92">
        <w:trPr>
          <w:trHeight w:val="1065"/>
        </w:trPr>
        <w:tc>
          <w:tcPr>
            <w:tcW w:w="717" w:type="dxa"/>
            <w:shd w:val="clear" w:color="auto" w:fill="auto"/>
          </w:tcPr>
          <w:p w14:paraId="74329F61"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28" w:type="dxa"/>
            <w:shd w:val="clear" w:color="auto" w:fill="auto"/>
          </w:tcPr>
          <w:p w14:paraId="55194E17"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409" w:type="dxa"/>
            <w:shd w:val="clear" w:color="auto" w:fill="auto"/>
          </w:tcPr>
          <w:p w14:paraId="46D599F4"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454" w:type="dxa"/>
            <w:shd w:val="clear" w:color="auto" w:fill="auto"/>
          </w:tcPr>
          <w:p w14:paraId="0B7FF811"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953" w:type="dxa"/>
            <w:shd w:val="clear" w:color="auto" w:fill="auto"/>
          </w:tcPr>
          <w:p w14:paraId="475C5029"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632" w:type="dxa"/>
            <w:shd w:val="clear" w:color="auto" w:fill="auto"/>
          </w:tcPr>
          <w:p w14:paraId="3B7C0046"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2124" w:type="dxa"/>
            <w:shd w:val="clear" w:color="auto" w:fill="auto"/>
          </w:tcPr>
          <w:p w14:paraId="1F234CEE"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c>
          <w:tcPr>
            <w:tcW w:w="1943" w:type="dxa"/>
            <w:shd w:val="clear" w:color="auto" w:fill="auto"/>
          </w:tcPr>
          <w:p w14:paraId="284B1596" w14:textId="77777777" w:rsidR="007D0D92" w:rsidRPr="007D0D92" w:rsidRDefault="007D0D92" w:rsidP="007D0D92">
            <w:pPr>
              <w:suppressAutoHyphens/>
              <w:spacing w:before="180" w:after="80" w:line="280" w:lineRule="exact"/>
              <w:rPr>
                <w:rFonts w:ascii="Arial" w:eastAsia="Arial" w:hAnsi="Arial"/>
                <w:color w:val="5E6167"/>
                <w:sz w:val="24"/>
                <w:szCs w:val="22"/>
                <w:lang w:eastAsia="en-US"/>
              </w:rPr>
            </w:pPr>
          </w:p>
        </w:tc>
      </w:tr>
    </w:tbl>
    <w:p w14:paraId="70C79BF7" w14:textId="77777777" w:rsidR="007D0D92" w:rsidRPr="007D0D92" w:rsidRDefault="007D0D92" w:rsidP="007D0D92">
      <w:pPr>
        <w:numPr>
          <w:ilvl w:val="0"/>
          <w:numId w:val="19"/>
        </w:numPr>
        <w:suppressAutoHyphens/>
        <w:spacing w:before="180" w:line="120" w:lineRule="exact"/>
        <w:ind w:left="539" w:hanging="539"/>
        <w:rPr>
          <w:rFonts w:ascii="Arial" w:eastAsia="Arial" w:hAnsi="Arial"/>
          <w:color w:val="5E6167"/>
          <w:sz w:val="16"/>
          <w:szCs w:val="16"/>
          <w:lang w:eastAsia="en-US"/>
        </w:rPr>
      </w:pPr>
      <w:r w:rsidRPr="007D0D92">
        <w:rPr>
          <w:rFonts w:ascii="Arial" w:eastAsia="Arial" w:hAnsi="Arial"/>
          <w:color w:val="5E6167"/>
          <w:sz w:val="16"/>
          <w:szCs w:val="16"/>
          <w:lang w:eastAsia="en-US"/>
        </w:rPr>
        <w:t xml:space="preserve">Disability Employment Services Grant Agreement; and </w:t>
      </w:r>
    </w:p>
    <w:p w14:paraId="34B7381C" w14:textId="77777777" w:rsidR="007D0D92" w:rsidRPr="007D0D92" w:rsidRDefault="007D0D92" w:rsidP="007D0D92">
      <w:pPr>
        <w:numPr>
          <w:ilvl w:val="0"/>
          <w:numId w:val="19"/>
        </w:numPr>
        <w:suppressAutoHyphens/>
        <w:spacing w:before="180" w:line="120" w:lineRule="exact"/>
        <w:ind w:left="539" w:hanging="539"/>
        <w:rPr>
          <w:rFonts w:ascii="Arial" w:eastAsia="Arial" w:hAnsi="Arial"/>
          <w:color w:val="5E6167"/>
          <w:sz w:val="16"/>
          <w:szCs w:val="16"/>
          <w:lang w:eastAsia="en-US"/>
        </w:rPr>
      </w:pPr>
      <w:r w:rsidRPr="007D0D92">
        <w:rPr>
          <w:rFonts w:ascii="Arial" w:eastAsia="Arial" w:hAnsi="Arial"/>
          <w:bCs/>
          <w:color w:val="5E6167"/>
          <w:sz w:val="16"/>
          <w:szCs w:val="16"/>
          <w:lang w:eastAsia="en-US"/>
        </w:rPr>
        <w:t>The Australian Standard for Risk Management AS 4360:2004.</w:t>
      </w:r>
    </w:p>
    <w:p w14:paraId="73F05ADE" w14:textId="77777777" w:rsidR="00B96328" w:rsidRDefault="00B96328" w:rsidP="006B52EA">
      <w:pPr>
        <w:rPr>
          <w:rFonts w:asciiTheme="majorHAnsi" w:hAnsiTheme="majorHAnsi"/>
        </w:rPr>
      </w:pPr>
      <w:r>
        <w:rPr>
          <w:rFonts w:asciiTheme="majorHAnsi" w:hAnsiTheme="majorHAnsi"/>
        </w:rPr>
        <w:br w:type="page"/>
      </w:r>
    </w:p>
    <w:p w14:paraId="66DAE88A" w14:textId="77777777" w:rsidR="007D0D92" w:rsidRDefault="007D0D92" w:rsidP="006B52EA">
      <w:pPr>
        <w:rPr>
          <w:rFonts w:asciiTheme="majorHAnsi" w:hAnsiTheme="majorHAnsi"/>
        </w:rPr>
        <w:sectPr w:rsidR="007D0D92" w:rsidSect="00B96328">
          <w:pgSz w:w="16838" w:h="11906" w:orient="landscape"/>
          <w:pgMar w:top="1135" w:right="1440" w:bottom="1800" w:left="1440" w:header="708" w:footer="433" w:gutter="0"/>
          <w:cols w:space="708"/>
          <w:titlePg/>
          <w:docGrid w:linePitch="360"/>
        </w:sectPr>
      </w:pPr>
    </w:p>
    <w:p w14:paraId="7717D391" w14:textId="77777777" w:rsidR="007D0D92" w:rsidRDefault="007D0D92" w:rsidP="007D0D92">
      <w:pPr>
        <w:pStyle w:val="Heading3"/>
      </w:pPr>
      <w:bookmarkStart w:id="61" w:name="_Toc524616564"/>
      <w:r>
        <w:lastRenderedPageBreak/>
        <w:t>Risk Matrix</w:t>
      </w:r>
      <w:bookmarkEnd w:id="61"/>
    </w:p>
    <w:p w14:paraId="681C4EEB" w14:textId="77777777" w:rsidR="00BE0998" w:rsidRDefault="007D0D92" w:rsidP="00BE0998">
      <w:pPr>
        <w:spacing w:before="120"/>
      </w:pPr>
      <w:r w:rsidRPr="007D0D92">
        <w:rPr>
          <w:rFonts w:ascii="Arial" w:eastAsia="Arial" w:hAnsi="Arial"/>
          <w:noProof/>
          <w:color w:val="5E6167"/>
          <w:sz w:val="24"/>
          <w:szCs w:val="22"/>
        </w:rPr>
        <w:drawing>
          <wp:inline distT="0" distB="0" distL="0" distR="0" wp14:anchorId="35B1ED02" wp14:editId="05DE450A">
            <wp:extent cx="5591175" cy="2228850"/>
            <wp:effectExtent l="19050" t="19050" r="28575" b="19050"/>
            <wp:docPr id="196" name="Picture 196" descr="Risk matr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G-0053"/>
                    <pic:cNvPicPr>
                      <a:picLocks noChangeAspect="1" noChangeArrowheads="1"/>
                    </pic:cNvPicPr>
                  </pic:nvPicPr>
                  <pic:blipFill>
                    <a:blip r:embed="rId29">
                      <a:extLst>
                        <a:ext uri="{28A0092B-C50C-407E-A947-70E740481C1C}">
                          <a14:useLocalDpi xmlns:a14="http://schemas.microsoft.com/office/drawing/2010/main" val="0"/>
                        </a:ext>
                      </a:extLst>
                    </a:blip>
                    <a:srcRect l="4956" t="21011" r="22906" b="36871"/>
                    <a:stretch>
                      <a:fillRect/>
                    </a:stretch>
                  </pic:blipFill>
                  <pic:spPr bwMode="auto">
                    <a:xfrm>
                      <a:off x="0" y="0"/>
                      <a:ext cx="5591175" cy="2228850"/>
                    </a:xfrm>
                    <a:prstGeom prst="rect">
                      <a:avLst/>
                    </a:prstGeom>
                    <a:noFill/>
                    <a:ln w="6350" cmpd="sng">
                      <a:solidFill>
                        <a:srgbClr val="000000"/>
                      </a:solidFill>
                      <a:miter lim="800000"/>
                      <a:headEnd/>
                      <a:tailEnd/>
                    </a:ln>
                    <a:effectLst/>
                  </pic:spPr>
                </pic:pic>
              </a:graphicData>
            </a:graphic>
          </wp:inline>
        </w:drawing>
      </w:r>
    </w:p>
    <w:p w14:paraId="210C8748" w14:textId="77777777" w:rsidR="00BE0998" w:rsidRPr="00BE0998" w:rsidRDefault="00BE0998" w:rsidP="00BE0998">
      <w:r w:rsidRPr="00BE0998">
        <w:t xml:space="preserve"> </w:t>
      </w:r>
    </w:p>
    <w:tbl>
      <w:tblPr>
        <w:tblStyle w:val="TableGrid1"/>
        <w:tblpPr w:leftFromText="180" w:rightFromText="180" w:vertAnchor="page" w:horzAnchor="margin" w:tblpY="6586"/>
        <w:tblW w:w="0" w:type="auto"/>
        <w:tblLook w:val="04A0" w:firstRow="1" w:lastRow="0" w:firstColumn="1" w:lastColumn="0" w:noHBand="0" w:noVBand="1"/>
        <w:tblDescription w:val="Risk matrix."/>
      </w:tblPr>
      <w:tblGrid>
        <w:gridCol w:w="3015"/>
        <w:gridCol w:w="1947"/>
        <w:gridCol w:w="3999"/>
      </w:tblGrid>
      <w:tr w:rsidR="007D0D92" w:rsidRPr="007D0D92" w14:paraId="3FA63D96" w14:textId="77777777" w:rsidTr="007D0D92">
        <w:trPr>
          <w:tblHeader/>
        </w:trPr>
        <w:tc>
          <w:tcPr>
            <w:tcW w:w="3015" w:type="dxa"/>
          </w:tcPr>
          <w:p w14:paraId="78AE9CEF"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Risk Level:</w:t>
            </w:r>
          </w:p>
        </w:tc>
        <w:tc>
          <w:tcPr>
            <w:tcW w:w="1947" w:type="dxa"/>
          </w:tcPr>
          <w:p w14:paraId="5DC77D79"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Likelihood:</w:t>
            </w:r>
          </w:p>
        </w:tc>
        <w:tc>
          <w:tcPr>
            <w:tcW w:w="3999" w:type="dxa"/>
          </w:tcPr>
          <w:p w14:paraId="49258683" w14:textId="77777777" w:rsidR="007D0D92" w:rsidRPr="007D0D92" w:rsidRDefault="007D0D92" w:rsidP="007D0D92">
            <w:pPr>
              <w:suppressAutoHyphens/>
              <w:spacing w:before="180" w:after="80" w:line="280" w:lineRule="exact"/>
              <w:rPr>
                <w:rFonts w:ascii="Arial" w:hAnsi="Arial"/>
                <w:color w:val="5E6167"/>
                <w:sz w:val="24"/>
                <w:szCs w:val="22"/>
              </w:rPr>
            </w:pPr>
          </w:p>
        </w:tc>
      </w:tr>
      <w:tr w:rsidR="007D0D92" w:rsidRPr="007D0D92" w14:paraId="1D69B1D7" w14:textId="77777777" w:rsidTr="007D0D92">
        <w:tc>
          <w:tcPr>
            <w:tcW w:w="3015" w:type="dxa"/>
          </w:tcPr>
          <w:p w14:paraId="67956FD8"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E</w:t>
            </w:r>
            <w:r w:rsidRPr="007D0D92">
              <w:rPr>
                <w:rFonts w:ascii="Arial" w:hAnsi="Arial"/>
                <w:color w:val="5E6167"/>
                <w:sz w:val="24"/>
                <w:szCs w:val="22"/>
              </w:rPr>
              <w:tab/>
              <w:t>Extreme risk</w:t>
            </w:r>
          </w:p>
        </w:tc>
        <w:tc>
          <w:tcPr>
            <w:tcW w:w="1947" w:type="dxa"/>
          </w:tcPr>
          <w:p w14:paraId="6AF08ED4"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Almost certain</w:t>
            </w:r>
          </w:p>
        </w:tc>
        <w:tc>
          <w:tcPr>
            <w:tcW w:w="3999" w:type="dxa"/>
          </w:tcPr>
          <w:p w14:paraId="29A4414B"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Expected in most circumstances</w:t>
            </w:r>
          </w:p>
        </w:tc>
      </w:tr>
      <w:tr w:rsidR="007D0D92" w:rsidRPr="007D0D92" w14:paraId="01FED177" w14:textId="77777777" w:rsidTr="007D0D92">
        <w:tc>
          <w:tcPr>
            <w:tcW w:w="3015" w:type="dxa"/>
          </w:tcPr>
          <w:p w14:paraId="7AD8458A"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 xml:space="preserve">H </w:t>
            </w:r>
            <w:r w:rsidRPr="007D0D92">
              <w:rPr>
                <w:rFonts w:ascii="Arial" w:hAnsi="Arial"/>
                <w:color w:val="5E6167"/>
                <w:sz w:val="24"/>
                <w:szCs w:val="22"/>
              </w:rPr>
              <w:tab/>
              <w:t>High risk</w:t>
            </w:r>
          </w:p>
        </w:tc>
        <w:tc>
          <w:tcPr>
            <w:tcW w:w="1947" w:type="dxa"/>
          </w:tcPr>
          <w:p w14:paraId="55F0C76D"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Likely</w:t>
            </w:r>
          </w:p>
        </w:tc>
        <w:tc>
          <w:tcPr>
            <w:tcW w:w="3999" w:type="dxa"/>
          </w:tcPr>
          <w:p w14:paraId="111F8A06"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Will probably occur in most circumstances</w:t>
            </w:r>
          </w:p>
        </w:tc>
      </w:tr>
      <w:tr w:rsidR="007D0D92" w:rsidRPr="007D0D92" w14:paraId="54136387" w14:textId="77777777" w:rsidTr="007D0D92">
        <w:tc>
          <w:tcPr>
            <w:tcW w:w="3015" w:type="dxa"/>
          </w:tcPr>
          <w:p w14:paraId="27B66812"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M</w:t>
            </w:r>
            <w:r w:rsidRPr="007D0D92">
              <w:rPr>
                <w:rFonts w:ascii="Arial" w:hAnsi="Arial"/>
                <w:color w:val="5E6167"/>
                <w:sz w:val="24"/>
                <w:szCs w:val="22"/>
              </w:rPr>
              <w:tab/>
              <w:t>Moderate risk</w:t>
            </w:r>
          </w:p>
        </w:tc>
        <w:tc>
          <w:tcPr>
            <w:tcW w:w="1947" w:type="dxa"/>
          </w:tcPr>
          <w:p w14:paraId="1BC349F8"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Possible</w:t>
            </w:r>
          </w:p>
        </w:tc>
        <w:tc>
          <w:tcPr>
            <w:tcW w:w="3999" w:type="dxa"/>
          </w:tcPr>
          <w:p w14:paraId="2DF967E4"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Could occur in most circumstances</w:t>
            </w:r>
          </w:p>
        </w:tc>
      </w:tr>
      <w:tr w:rsidR="007D0D92" w:rsidRPr="007D0D92" w14:paraId="3737FC87" w14:textId="77777777" w:rsidTr="007D0D92">
        <w:tc>
          <w:tcPr>
            <w:tcW w:w="3015" w:type="dxa"/>
          </w:tcPr>
          <w:p w14:paraId="06DE19BF"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L</w:t>
            </w:r>
            <w:r w:rsidRPr="007D0D92">
              <w:rPr>
                <w:rFonts w:ascii="Arial" w:hAnsi="Arial"/>
                <w:color w:val="5E6167"/>
                <w:sz w:val="24"/>
                <w:szCs w:val="22"/>
              </w:rPr>
              <w:tab/>
              <w:t>Low risk</w:t>
            </w:r>
          </w:p>
        </w:tc>
        <w:tc>
          <w:tcPr>
            <w:tcW w:w="1947" w:type="dxa"/>
          </w:tcPr>
          <w:p w14:paraId="118E76DA"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Unlikely</w:t>
            </w:r>
          </w:p>
        </w:tc>
        <w:tc>
          <w:tcPr>
            <w:tcW w:w="3999" w:type="dxa"/>
          </w:tcPr>
          <w:p w14:paraId="21724118"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Not expected to occur</w:t>
            </w:r>
          </w:p>
        </w:tc>
      </w:tr>
      <w:tr w:rsidR="007D0D92" w:rsidRPr="007D0D92" w14:paraId="5128BB97" w14:textId="77777777" w:rsidTr="007D0D92">
        <w:tc>
          <w:tcPr>
            <w:tcW w:w="3015" w:type="dxa"/>
          </w:tcPr>
          <w:p w14:paraId="79DF9377" w14:textId="77777777" w:rsidR="007D0D92" w:rsidRPr="007D0D92" w:rsidRDefault="007D0D92" w:rsidP="007D0D92">
            <w:pPr>
              <w:suppressAutoHyphens/>
              <w:spacing w:before="180" w:after="80" w:line="280" w:lineRule="exact"/>
              <w:rPr>
                <w:rFonts w:ascii="Arial" w:hAnsi="Arial"/>
                <w:color w:val="5E6167"/>
                <w:sz w:val="24"/>
                <w:szCs w:val="22"/>
              </w:rPr>
            </w:pPr>
          </w:p>
        </w:tc>
        <w:tc>
          <w:tcPr>
            <w:tcW w:w="1947" w:type="dxa"/>
          </w:tcPr>
          <w:p w14:paraId="112946ED"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Rare</w:t>
            </w:r>
          </w:p>
        </w:tc>
        <w:tc>
          <w:tcPr>
            <w:tcW w:w="3999" w:type="dxa"/>
          </w:tcPr>
          <w:p w14:paraId="7792ADF6" w14:textId="77777777" w:rsidR="007D0D92" w:rsidRPr="007D0D92" w:rsidRDefault="007D0D92" w:rsidP="007D0D92">
            <w:pPr>
              <w:suppressAutoHyphens/>
              <w:spacing w:before="180" w:after="80" w:line="280" w:lineRule="exact"/>
              <w:rPr>
                <w:rFonts w:ascii="Arial" w:hAnsi="Arial"/>
                <w:color w:val="5E6167"/>
                <w:sz w:val="24"/>
                <w:szCs w:val="22"/>
              </w:rPr>
            </w:pPr>
            <w:r w:rsidRPr="007D0D92">
              <w:rPr>
                <w:rFonts w:ascii="Arial" w:hAnsi="Arial"/>
                <w:color w:val="5E6167"/>
                <w:sz w:val="24"/>
                <w:szCs w:val="22"/>
              </w:rPr>
              <w:t>Exceptional circumstances only</w:t>
            </w:r>
          </w:p>
        </w:tc>
      </w:tr>
    </w:tbl>
    <w:p w14:paraId="22B16833" w14:textId="77777777" w:rsidR="007D0D92" w:rsidRDefault="007D0D92" w:rsidP="007D0D92"/>
    <w:sectPr w:rsidR="007D0D92" w:rsidSect="007D0D92">
      <w:pgSz w:w="11906" w:h="16838"/>
      <w:pgMar w:top="1440" w:right="1800" w:bottom="1440" w:left="1135"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3056" w14:textId="77777777" w:rsidR="00F875DA" w:rsidRDefault="00F875DA">
      <w:r>
        <w:separator/>
      </w:r>
    </w:p>
  </w:endnote>
  <w:endnote w:type="continuationSeparator" w:id="0">
    <w:p w14:paraId="5814FA42" w14:textId="77777777" w:rsidR="00F875DA" w:rsidRDefault="00F8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Pro Light">
    <w:altName w:val="Times New Roman"/>
    <w:panose1 w:val="00000000000000000000"/>
    <w:charset w:val="00"/>
    <w:family w:val="auto"/>
    <w:notTrueType/>
    <w:pitch w:val="variable"/>
    <w:sig w:usb0="A00002EF" w:usb1="4000606A"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5640" w14:textId="77777777" w:rsidR="00115999" w:rsidRPr="00765634" w:rsidRDefault="00115999" w:rsidP="00C2063B">
    <w:pPr>
      <w:pStyle w:val="Footer"/>
      <w:rPr>
        <w:sz w:val="16"/>
        <w:szCs w:val="16"/>
      </w:rPr>
    </w:pPr>
    <w:r w:rsidRPr="00765634">
      <w:rPr>
        <w:sz w:val="16"/>
        <w:szCs w:val="16"/>
      </w:rPr>
      <w:t>AccessAbility Day Provider Guidelines</w:t>
    </w:r>
    <w:r w:rsidRPr="00765634">
      <w:rPr>
        <w:sz w:val="16"/>
        <w:szCs w:val="16"/>
      </w:rPr>
      <w:tab/>
    </w:r>
  </w:p>
  <w:p w14:paraId="0EFEBF6D" w14:textId="067796AD" w:rsidR="00115999" w:rsidRPr="00765634" w:rsidRDefault="00115999" w:rsidP="00C2063B">
    <w:pPr>
      <w:pStyle w:val="Footer"/>
      <w:rPr>
        <w:sz w:val="16"/>
        <w:szCs w:val="16"/>
      </w:rPr>
    </w:pPr>
    <w:r w:rsidRPr="00765634">
      <w:rPr>
        <w:sz w:val="16"/>
        <w:szCs w:val="16"/>
      </w:rPr>
      <w:t xml:space="preserve">TRIM ID: </w:t>
    </w:r>
    <w:r w:rsidR="00C263BF" w:rsidRPr="00C263BF">
      <w:rPr>
        <w:sz w:val="16"/>
        <w:szCs w:val="16"/>
      </w:rPr>
      <w:t>D18/741009</w:t>
    </w:r>
  </w:p>
  <w:p w14:paraId="5E027AD5" w14:textId="2F4676E4" w:rsidR="00115999" w:rsidRPr="00765634" w:rsidRDefault="00115999" w:rsidP="00C2063B">
    <w:pPr>
      <w:pStyle w:val="Footer"/>
      <w:rPr>
        <w:sz w:val="16"/>
        <w:szCs w:val="16"/>
      </w:rPr>
    </w:pPr>
    <w:r w:rsidRPr="00765634">
      <w:rPr>
        <w:sz w:val="16"/>
        <w:szCs w:val="16"/>
      </w:rPr>
      <w:t>ARC Record Number: D18/1040952</w:t>
    </w:r>
    <w:r w:rsidRPr="00765634">
      <w:rPr>
        <w:sz w:val="16"/>
        <w:szCs w:val="16"/>
      </w:rPr>
      <w:tab/>
    </w:r>
    <w:r w:rsidRPr="00765634">
      <w:rPr>
        <w:sz w:val="16"/>
        <w:szCs w:val="16"/>
      </w:rPr>
      <w:tab/>
      <w:t>Effective Date: 13 September 2018</w:t>
    </w:r>
  </w:p>
  <w:p w14:paraId="202F2D19" w14:textId="0A86B5A5" w:rsidR="00115999" w:rsidRPr="00765634" w:rsidRDefault="00115999">
    <w:pPr>
      <w:pStyle w:val="Footer"/>
      <w:rPr>
        <w:sz w:val="16"/>
        <w:szCs w:val="16"/>
      </w:rPr>
    </w:pPr>
    <w:r w:rsidRPr="00765634">
      <w:rPr>
        <w:sz w:val="16"/>
        <w:szCs w:val="16"/>
      </w:rPr>
      <w:tab/>
    </w:r>
    <w:r w:rsidRPr="00765634">
      <w:rPr>
        <w:sz w:val="16"/>
        <w:szCs w:val="16"/>
      </w:rPr>
      <w:fldChar w:fldCharType="begin"/>
    </w:r>
    <w:r w:rsidRPr="00765634">
      <w:rPr>
        <w:sz w:val="16"/>
        <w:szCs w:val="16"/>
      </w:rPr>
      <w:instrText xml:space="preserve"> PAGE   \* MERGEFORMAT </w:instrText>
    </w:r>
    <w:r w:rsidRPr="00765634">
      <w:rPr>
        <w:sz w:val="16"/>
        <w:szCs w:val="16"/>
      </w:rPr>
      <w:fldChar w:fldCharType="separate"/>
    </w:r>
    <w:r w:rsidR="007467EA">
      <w:rPr>
        <w:noProof/>
        <w:sz w:val="16"/>
        <w:szCs w:val="16"/>
      </w:rPr>
      <w:t>4</w:t>
    </w:r>
    <w:r w:rsidRPr="0076563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A35E" w14:textId="77777777" w:rsidR="00115999" w:rsidRPr="00765634" w:rsidRDefault="00115999" w:rsidP="00765634">
    <w:pPr>
      <w:pStyle w:val="Footer"/>
      <w:rPr>
        <w:sz w:val="16"/>
        <w:szCs w:val="16"/>
      </w:rPr>
    </w:pPr>
    <w:r w:rsidRPr="00765634">
      <w:rPr>
        <w:sz w:val="16"/>
        <w:szCs w:val="16"/>
      </w:rPr>
      <w:t>AccessAbility Day Provider Guidelines</w:t>
    </w:r>
    <w:r w:rsidRPr="00765634">
      <w:rPr>
        <w:sz w:val="16"/>
        <w:szCs w:val="16"/>
      </w:rPr>
      <w:tab/>
    </w:r>
  </w:p>
  <w:p w14:paraId="7E1B3239" w14:textId="281F9430" w:rsidR="00115999" w:rsidRPr="00765634" w:rsidRDefault="00115999" w:rsidP="00765634">
    <w:pPr>
      <w:pStyle w:val="Footer"/>
      <w:rPr>
        <w:sz w:val="16"/>
        <w:szCs w:val="16"/>
      </w:rPr>
    </w:pPr>
    <w:r w:rsidRPr="00765634">
      <w:rPr>
        <w:sz w:val="16"/>
        <w:szCs w:val="16"/>
      </w:rPr>
      <w:t xml:space="preserve">TRIM ID: </w:t>
    </w:r>
    <w:r w:rsidR="00C263BF" w:rsidRPr="00C263BF">
      <w:rPr>
        <w:sz w:val="16"/>
        <w:szCs w:val="16"/>
      </w:rPr>
      <w:t>D18/741009</w:t>
    </w:r>
  </w:p>
  <w:p w14:paraId="7462B62E" w14:textId="77777777" w:rsidR="00115999" w:rsidRPr="00765634" w:rsidRDefault="00115999" w:rsidP="00765634">
    <w:pPr>
      <w:pStyle w:val="Footer"/>
      <w:rPr>
        <w:sz w:val="16"/>
        <w:szCs w:val="16"/>
      </w:rPr>
    </w:pPr>
    <w:r w:rsidRPr="00765634">
      <w:rPr>
        <w:sz w:val="16"/>
        <w:szCs w:val="16"/>
      </w:rPr>
      <w:t>ARC Record Number: D18/1040952</w:t>
    </w:r>
    <w:r w:rsidRPr="00765634">
      <w:rPr>
        <w:sz w:val="16"/>
        <w:szCs w:val="16"/>
      </w:rPr>
      <w:tab/>
    </w:r>
    <w:r w:rsidRPr="00765634">
      <w:rPr>
        <w:sz w:val="16"/>
        <w:szCs w:val="16"/>
      </w:rPr>
      <w:tab/>
      <w:t>Effective Date: 13 September 2018</w:t>
    </w:r>
  </w:p>
  <w:p w14:paraId="572619E3" w14:textId="4A5F85CE" w:rsidR="00115999" w:rsidRPr="00765634" w:rsidRDefault="00115999">
    <w:pPr>
      <w:pStyle w:val="Footer"/>
      <w:rPr>
        <w:sz w:val="16"/>
        <w:szCs w:val="16"/>
      </w:rPr>
    </w:pPr>
    <w:r w:rsidRPr="00765634">
      <w:rPr>
        <w:sz w:val="16"/>
        <w:szCs w:val="16"/>
      </w:rPr>
      <w:tab/>
    </w:r>
    <w:r w:rsidRPr="00765634">
      <w:rPr>
        <w:sz w:val="16"/>
        <w:szCs w:val="16"/>
      </w:rPr>
      <w:fldChar w:fldCharType="begin"/>
    </w:r>
    <w:r w:rsidRPr="00765634">
      <w:rPr>
        <w:sz w:val="16"/>
        <w:szCs w:val="16"/>
      </w:rPr>
      <w:instrText xml:space="preserve"> PAGE   \* MERGEFORMAT </w:instrText>
    </w:r>
    <w:r w:rsidRPr="00765634">
      <w:rPr>
        <w:sz w:val="16"/>
        <w:szCs w:val="16"/>
      </w:rPr>
      <w:fldChar w:fldCharType="separate"/>
    </w:r>
    <w:r w:rsidR="007467EA">
      <w:rPr>
        <w:noProof/>
        <w:sz w:val="16"/>
        <w:szCs w:val="16"/>
      </w:rPr>
      <w:t>1</w:t>
    </w:r>
    <w:r w:rsidRPr="0076563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8563" w14:textId="77777777" w:rsidR="00F875DA" w:rsidRDefault="00F875DA">
      <w:r>
        <w:separator/>
      </w:r>
    </w:p>
  </w:footnote>
  <w:footnote w:type="continuationSeparator" w:id="0">
    <w:p w14:paraId="7B7724CB" w14:textId="77777777" w:rsidR="00F875DA" w:rsidRDefault="00F8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E7EB" w14:textId="77777777" w:rsidR="00115999" w:rsidRDefault="00115999">
    <w:pPr>
      <w:pStyle w:val="Header"/>
    </w:pPr>
    <w:r>
      <w:rPr>
        <w:b/>
        <w:bCs/>
        <w:noProof/>
        <w:sz w:val="32"/>
        <w:szCs w:val="32"/>
      </w:rPr>
      <w:drawing>
        <wp:anchor distT="0" distB="0" distL="114300" distR="114300" simplePos="0" relativeHeight="251659264" behindDoc="0" locked="0" layoutInCell="1" allowOverlap="1" wp14:anchorId="33E36DC5" wp14:editId="36F6F8A2">
          <wp:simplePos x="0" y="0"/>
          <wp:positionH relativeFrom="column">
            <wp:posOffset>6838950</wp:posOffset>
          </wp:positionH>
          <wp:positionV relativeFrom="paragraph">
            <wp:posOffset>-10160</wp:posOffset>
          </wp:positionV>
          <wp:extent cx="1337310" cy="560070"/>
          <wp:effectExtent l="0" t="0" r="0" b="0"/>
          <wp:wrapSquare wrapText="bothSides"/>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_rgb_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560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A601D"/>
    <w:multiLevelType w:val="hybridMultilevel"/>
    <w:tmpl w:val="E50A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61187"/>
    <w:multiLevelType w:val="hybridMultilevel"/>
    <w:tmpl w:val="2A2E8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B48ED"/>
    <w:multiLevelType w:val="hybridMultilevel"/>
    <w:tmpl w:val="CBE0EAEE"/>
    <w:lvl w:ilvl="0" w:tplc="6520EA4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6E1F9F"/>
    <w:multiLevelType w:val="hybridMultilevel"/>
    <w:tmpl w:val="B008D36A"/>
    <w:lvl w:ilvl="0" w:tplc="6520EA4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9F77498"/>
    <w:multiLevelType w:val="hybridMultilevel"/>
    <w:tmpl w:val="903CD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1884557"/>
    <w:multiLevelType w:val="hybridMultilevel"/>
    <w:tmpl w:val="C7129106"/>
    <w:lvl w:ilvl="0" w:tplc="6520EA46">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22422EE"/>
    <w:multiLevelType w:val="hybridMultilevel"/>
    <w:tmpl w:val="68D05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1C5858"/>
    <w:multiLevelType w:val="hybridMultilevel"/>
    <w:tmpl w:val="28D60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C13D01"/>
    <w:multiLevelType w:val="hybridMultilevel"/>
    <w:tmpl w:val="261E9130"/>
    <w:lvl w:ilvl="0" w:tplc="6520EA4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E4A29"/>
    <w:multiLevelType w:val="multilevel"/>
    <w:tmpl w:val="1C02EB18"/>
    <w:numStyleLink w:val="BulletList"/>
  </w:abstractNum>
  <w:abstractNum w:abstractNumId="14" w15:restartNumberingAfterBreak="0">
    <w:nsid w:val="5B785AF9"/>
    <w:multiLevelType w:val="hybridMultilevel"/>
    <w:tmpl w:val="9CC81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2B493B"/>
    <w:multiLevelType w:val="hybridMultilevel"/>
    <w:tmpl w:val="2D20A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FB63EC"/>
    <w:multiLevelType w:val="hybridMultilevel"/>
    <w:tmpl w:val="55C02180"/>
    <w:lvl w:ilvl="0" w:tplc="6520EA4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E7824AC"/>
    <w:multiLevelType w:val="hybridMultilevel"/>
    <w:tmpl w:val="1D5240E0"/>
    <w:lvl w:ilvl="0" w:tplc="6520EA4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3"/>
  </w:num>
  <w:num w:numId="5">
    <w:abstractNumId w:val="12"/>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1"/>
  </w:num>
  <w:num w:numId="11">
    <w:abstractNumId w:val="5"/>
  </w:num>
  <w:num w:numId="12">
    <w:abstractNumId w:val="15"/>
  </w:num>
  <w:num w:numId="13">
    <w:abstractNumId w:val="1"/>
  </w:num>
  <w:num w:numId="14">
    <w:abstractNumId w:val="9"/>
  </w:num>
  <w:num w:numId="15">
    <w:abstractNumId w:val="18"/>
  </w:num>
  <w:num w:numId="16">
    <w:abstractNumId w:val="4"/>
  </w:num>
  <w:num w:numId="17">
    <w:abstractNumId w:val="8"/>
  </w:num>
  <w:num w:numId="18">
    <w:abstractNumId w:val="14"/>
  </w:num>
  <w:num w:numId="19">
    <w:abstractNumId w:val="3"/>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607D"/>
    <w:rsid w:val="00022FD0"/>
    <w:rsid w:val="000275A5"/>
    <w:rsid w:val="000313C4"/>
    <w:rsid w:val="00031FC8"/>
    <w:rsid w:val="00032058"/>
    <w:rsid w:val="00032AA6"/>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787"/>
    <w:rsid w:val="00083BB6"/>
    <w:rsid w:val="00087158"/>
    <w:rsid w:val="00087D36"/>
    <w:rsid w:val="000924BC"/>
    <w:rsid w:val="00094EEF"/>
    <w:rsid w:val="00095070"/>
    <w:rsid w:val="00097643"/>
    <w:rsid w:val="000A0FC0"/>
    <w:rsid w:val="000A19E5"/>
    <w:rsid w:val="000A6025"/>
    <w:rsid w:val="000A642C"/>
    <w:rsid w:val="000A6B7B"/>
    <w:rsid w:val="000A6F0E"/>
    <w:rsid w:val="000B4346"/>
    <w:rsid w:val="000B6526"/>
    <w:rsid w:val="000B76A8"/>
    <w:rsid w:val="000C256A"/>
    <w:rsid w:val="000C390D"/>
    <w:rsid w:val="000C42EE"/>
    <w:rsid w:val="000C50C7"/>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4426"/>
    <w:rsid w:val="000F4BF3"/>
    <w:rsid w:val="000F4BF8"/>
    <w:rsid w:val="000F7FDF"/>
    <w:rsid w:val="00100FC5"/>
    <w:rsid w:val="00102F56"/>
    <w:rsid w:val="0010417F"/>
    <w:rsid w:val="00104467"/>
    <w:rsid w:val="00110B2B"/>
    <w:rsid w:val="00115999"/>
    <w:rsid w:val="001164C8"/>
    <w:rsid w:val="00120220"/>
    <w:rsid w:val="00123191"/>
    <w:rsid w:val="001241A7"/>
    <w:rsid w:val="001249F9"/>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D64"/>
    <w:rsid w:val="0015514D"/>
    <w:rsid w:val="00155882"/>
    <w:rsid w:val="00157694"/>
    <w:rsid w:val="0016080D"/>
    <w:rsid w:val="00165943"/>
    <w:rsid w:val="00170CD2"/>
    <w:rsid w:val="001720DD"/>
    <w:rsid w:val="00172646"/>
    <w:rsid w:val="0017268B"/>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A0733"/>
    <w:rsid w:val="001A1245"/>
    <w:rsid w:val="001A43F2"/>
    <w:rsid w:val="001A45C8"/>
    <w:rsid w:val="001A59E1"/>
    <w:rsid w:val="001A5DA1"/>
    <w:rsid w:val="001A676D"/>
    <w:rsid w:val="001B2145"/>
    <w:rsid w:val="001B2367"/>
    <w:rsid w:val="001B25C5"/>
    <w:rsid w:val="001B2BF6"/>
    <w:rsid w:val="001B383A"/>
    <w:rsid w:val="001B4A5B"/>
    <w:rsid w:val="001B52C9"/>
    <w:rsid w:val="001C01D2"/>
    <w:rsid w:val="001C05FC"/>
    <w:rsid w:val="001C2E79"/>
    <w:rsid w:val="001C2FE2"/>
    <w:rsid w:val="001C3797"/>
    <w:rsid w:val="001C4509"/>
    <w:rsid w:val="001C60BB"/>
    <w:rsid w:val="001C7590"/>
    <w:rsid w:val="001C779C"/>
    <w:rsid w:val="001D10E2"/>
    <w:rsid w:val="001D2836"/>
    <w:rsid w:val="001D40E3"/>
    <w:rsid w:val="001E0D33"/>
    <w:rsid w:val="001E2239"/>
    <w:rsid w:val="001E278A"/>
    <w:rsid w:val="001E3618"/>
    <w:rsid w:val="001F555E"/>
    <w:rsid w:val="002009F3"/>
    <w:rsid w:val="00200EF0"/>
    <w:rsid w:val="00201A2A"/>
    <w:rsid w:val="00203BE8"/>
    <w:rsid w:val="00203CC4"/>
    <w:rsid w:val="00206D5A"/>
    <w:rsid w:val="00206E24"/>
    <w:rsid w:val="00210ACD"/>
    <w:rsid w:val="0021413C"/>
    <w:rsid w:val="0022064C"/>
    <w:rsid w:val="00221320"/>
    <w:rsid w:val="00222A4C"/>
    <w:rsid w:val="0022370F"/>
    <w:rsid w:val="00223B64"/>
    <w:rsid w:val="00224E14"/>
    <w:rsid w:val="00225370"/>
    <w:rsid w:val="00225561"/>
    <w:rsid w:val="0022719E"/>
    <w:rsid w:val="00227DF6"/>
    <w:rsid w:val="002300C7"/>
    <w:rsid w:val="0023085C"/>
    <w:rsid w:val="00230A97"/>
    <w:rsid w:val="00231576"/>
    <w:rsid w:val="00231939"/>
    <w:rsid w:val="00232B28"/>
    <w:rsid w:val="0023559A"/>
    <w:rsid w:val="0023752C"/>
    <w:rsid w:val="002404CC"/>
    <w:rsid w:val="00240B28"/>
    <w:rsid w:val="002414C2"/>
    <w:rsid w:val="0024185E"/>
    <w:rsid w:val="002444D9"/>
    <w:rsid w:val="00246DC1"/>
    <w:rsid w:val="00247750"/>
    <w:rsid w:val="0025025C"/>
    <w:rsid w:val="0025098F"/>
    <w:rsid w:val="00251643"/>
    <w:rsid w:val="0025275E"/>
    <w:rsid w:val="00253F04"/>
    <w:rsid w:val="0025479D"/>
    <w:rsid w:val="00255214"/>
    <w:rsid w:val="002561A2"/>
    <w:rsid w:val="00256F6D"/>
    <w:rsid w:val="002570F5"/>
    <w:rsid w:val="002604E1"/>
    <w:rsid w:val="0026348B"/>
    <w:rsid w:val="002647C6"/>
    <w:rsid w:val="0026549F"/>
    <w:rsid w:val="00266B61"/>
    <w:rsid w:val="00270A8D"/>
    <w:rsid w:val="0027219B"/>
    <w:rsid w:val="00272354"/>
    <w:rsid w:val="00273403"/>
    <w:rsid w:val="002752E2"/>
    <w:rsid w:val="0028344C"/>
    <w:rsid w:val="002864F0"/>
    <w:rsid w:val="002876F6"/>
    <w:rsid w:val="002903CA"/>
    <w:rsid w:val="00295DFA"/>
    <w:rsid w:val="00297414"/>
    <w:rsid w:val="00297B4A"/>
    <w:rsid w:val="002A17CC"/>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7DD5"/>
    <w:rsid w:val="002D042D"/>
    <w:rsid w:val="002D33BB"/>
    <w:rsid w:val="002D69F4"/>
    <w:rsid w:val="002E0833"/>
    <w:rsid w:val="002E0A2C"/>
    <w:rsid w:val="002E3855"/>
    <w:rsid w:val="002E3AC3"/>
    <w:rsid w:val="002F1A77"/>
    <w:rsid w:val="002F3542"/>
    <w:rsid w:val="002F6C66"/>
    <w:rsid w:val="00300DE4"/>
    <w:rsid w:val="003027D3"/>
    <w:rsid w:val="00303F0C"/>
    <w:rsid w:val="00304DB1"/>
    <w:rsid w:val="00304DF4"/>
    <w:rsid w:val="003064BB"/>
    <w:rsid w:val="00307FEC"/>
    <w:rsid w:val="0031170D"/>
    <w:rsid w:val="003120E1"/>
    <w:rsid w:val="00313469"/>
    <w:rsid w:val="003236A5"/>
    <w:rsid w:val="00324C7F"/>
    <w:rsid w:val="0033096D"/>
    <w:rsid w:val="00332BB3"/>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685A"/>
    <w:rsid w:val="003676A9"/>
    <w:rsid w:val="00367ED5"/>
    <w:rsid w:val="00371565"/>
    <w:rsid w:val="00372A58"/>
    <w:rsid w:val="00373F08"/>
    <w:rsid w:val="003768E0"/>
    <w:rsid w:val="00377107"/>
    <w:rsid w:val="00380338"/>
    <w:rsid w:val="0038096B"/>
    <w:rsid w:val="00380DBE"/>
    <w:rsid w:val="003906BA"/>
    <w:rsid w:val="00390E77"/>
    <w:rsid w:val="003946F4"/>
    <w:rsid w:val="00394C09"/>
    <w:rsid w:val="00394EAB"/>
    <w:rsid w:val="003951F6"/>
    <w:rsid w:val="0039606B"/>
    <w:rsid w:val="0039608E"/>
    <w:rsid w:val="00396092"/>
    <w:rsid w:val="00396EA8"/>
    <w:rsid w:val="003A468F"/>
    <w:rsid w:val="003A6304"/>
    <w:rsid w:val="003A6D56"/>
    <w:rsid w:val="003A70A6"/>
    <w:rsid w:val="003A7CA2"/>
    <w:rsid w:val="003B009A"/>
    <w:rsid w:val="003B00E0"/>
    <w:rsid w:val="003B038E"/>
    <w:rsid w:val="003B578E"/>
    <w:rsid w:val="003B6A6C"/>
    <w:rsid w:val="003C042D"/>
    <w:rsid w:val="003C0624"/>
    <w:rsid w:val="003C2B3E"/>
    <w:rsid w:val="003D28FD"/>
    <w:rsid w:val="003D73FE"/>
    <w:rsid w:val="003E1E39"/>
    <w:rsid w:val="003E5C6A"/>
    <w:rsid w:val="003E5D2B"/>
    <w:rsid w:val="003E665F"/>
    <w:rsid w:val="003F10A5"/>
    <w:rsid w:val="003F212C"/>
    <w:rsid w:val="003F77F7"/>
    <w:rsid w:val="00400841"/>
    <w:rsid w:val="00401698"/>
    <w:rsid w:val="00401932"/>
    <w:rsid w:val="00402359"/>
    <w:rsid w:val="00410B89"/>
    <w:rsid w:val="004111E7"/>
    <w:rsid w:val="00416D11"/>
    <w:rsid w:val="004225E6"/>
    <w:rsid w:val="0042260E"/>
    <w:rsid w:val="00426E22"/>
    <w:rsid w:val="004306E4"/>
    <w:rsid w:val="00430E81"/>
    <w:rsid w:val="00432983"/>
    <w:rsid w:val="00435A21"/>
    <w:rsid w:val="00435D79"/>
    <w:rsid w:val="00436772"/>
    <w:rsid w:val="00437DC0"/>
    <w:rsid w:val="00442A01"/>
    <w:rsid w:val="00443526"/>
    <w:rsid w:val="00444CAB"/>
    <w:rsid w:val="0044546A"/>
    <w:rsid w:val="00447C51"/>
    <w:rsid w:val="004502BB"/>
    <w:rsid w:val="004512EE"/>
    <w:rsid w:val="0045201B"/>
    <w:rsid w:val="00455145"/>
    <w:rsid w:val="00455711"/>
    <w:rsid w:val="00455FDC"/>
    <w:rsid w:val="004568EA"/>
    <w:rsid w:val="004579DB"/>
    <w:rsid w:val="004638BA"/>
    <w:rsid w:val="0046425E"/>
    <w:rsid w:val="004646D4"/>
    <w:rsid w:val="00473836"/>
    <w:rsid w:val="00473B61"/>
    <w:rsid w:val="00473F45"/>
    <w:rsid w:val="00477102"/>
    <w:rsid w:val="00480FB0"/>
    <w:rsid w:val="004845C4"/>
    <w:rsid w:val="00484C2D"/>
    <w:rsid w:val="00486E0E"/>
    <w:rsid w:val="004935F3"/>
    <w:rsid w:val="00493BAB"/>
    <w:rsid w:val="0049436B"/>
    <w:rsid w:val="004963B6"/>
    <w:rsid w:val="004A0704"/>
    <w:rsid w:val="004A10B3"/>
    <w:rsid w:val="004A3B25"/>
    <w:rsid w:val="004A432B"/>
    <w:rsid w:val="004A5069"/>
    <w:rsid w:val="004A5FAB"/>
    <w:rsid w:val="004A6765"/>
    <w:rsid w:val="004B03A3"/>
    <w:rsid w:val="004B0791"/>
    <w:rsid w:val="004B0B5B"/>
    <w:rsid w:val="004B1CEB"/>
    <w:rsid w:val="004B44ED"/>
    <w:rsid w:val="004B6325"/>
    <w:rsid w:val="004C0187"/>
    <w:rsid w:val="004C1103"/>
    <w:rsid w:val="004C55E5"/>
    <w:rsid w:val="004C5861"/>
    <w:rsid w:val="004C6C3A"/>
    <w:rsid w:val="004E278F"/>
    <w:rsid w:val="004E3CF2"/>
    <w:rsid w:val="004F094B"/>
    <w:rsid w:val="004F49F7"/>
    <w:rsid w:val="004F4D0E"/>
    <w:rsid w:val="004F5454"/>
    <w:rsid w:val="004F5F8E"/>
    <w:rsid w:val="004F7D3E"/>
    <w:rsid w:val="00501B64"/>
    <w:rsid w:val="005026D7"/>
    <w:rsid w:val="00504B84"/>
    <w:rsid w:val="00510152"/>
    <w:rsid w:val="00510A5A"/>
    <w:rsid w:val="00511CA2"/>
    <w:rsid w:val="00512301"/>
    <w:rsid w:val="005138AC"/>
    <w:rsid w:val="0051497F"/>
    <w:rsid w:val="00515A6A"/>
    <w:rsid w:val="00520367"/>
    <w:rsid w:val="00520B09"/>
    <w:rsid w:val="0052253F"/>
    <w:rsid w:val="00523669"/>
    <w:rsid w:val="00525A42"/>
    <w:rsid w:val="0052693C"/>
    <w:rsid w:val="00526FA4"/>
    <w:rsid w:val="00531C28"/>
    <w:rsid w:val="00531C83"/>
    <w:rsid w:val="0053699E"/>
    <w:rsid w:val="0054032D"/>
    <w:rsid w:val="00540BE9"/>
    <w:rsid w:val="00540DA7"/>
    <w:rsid w:val="0054216D"/>
    <w:rsid w:val="00542244"/>
    <w:rsid w:val="005422F3"/>
    <w:rsid w:val="00542B54"/>
    <w:rsid w:val="00545CC0"/>
    <w:rsid w:val="0054611C"/>
    <w:rsid w:val="00546505"/>
    <w:rsid w:val="005500A1"/>
    <w:rsid w:val="005502F7"/>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D16E2"/>
    <w:rsid w:val="005D2313"/>
    <w:rsid w:val="005D2733"/>
    <w:rsid w:val="005D7FC7"/>
    <w:rsid w:val="005E0522"/>
    <w:rsid w:val="005E1487"/>
    <w:rsid w:val="005E4753"/>
    <w:rsid w:val="005E4DE4"/>
    <w:rsid w:val="005E67F0"/>
    <w:rsid w:val="005F253B"/>
    <w:rsid w:val="005F2D9B"/>
    <w:rsid w:val="005F38F7"/>
    <w:rsid w:val="005F3B14"/>
    <w:rsid w:val="005F4F4B"/>
    <w:rsid w:val="005F603E"/>
    <w:rsid w:val="005F6262"/>
    <w:rsid w:val="006012D1"/>
    <w:rsid w:val="00603ACE"/>
    <w:rsid w:val="00605088"/>
    <w:rsid w:val="00605E20"/>
    <w:rsid w:val="006064BB"/>
    <w:rsid w:val="0061085D"/>
    <w:rsid w:val="006142B6"/>
    <w:rsid w:val="00617347"/>
    <w:rsid w:val="00621EA8"/>
    <w:rsid w:val="00622DB1"/>
    <w:rsid w:val="00626984"/>
    <w:rsid w:val="00630EF3"/>
    <w:rsid w:val="00631717"/>
    <w:rsid w:val="00633496"/>
    <w:rsid w:val="006347A0"/>
    <w:rsid w:val="00635906"/>
    <w:rsid w:val="00635A21"/>
    <w:rsid w:val="0064240C"/>
    <w:rsid w:val="00644214"/>
    <w:rsid w:val="00645ACB"/>
    <w:rsid w:val="00645BB5"/>
    <w:rsid w:val="006464A8"/>
    <w:rsid w:val="0064704C"/>
    <w:rsid w:val="00651115"/>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729D2"/>
    <w:rsid w:val="00673A4C"/>
    <w:rsid w:val="00674687"/>
    <w:rsid w:val="00674CED"/>
    <w:rsid w:val="00675CFA"/>
    <w:rsid w:val="006760FF"/>
    <w:rsid w:val="0067611E"/>
    <w:rsid w:val="006761D8"/>
    <w:rsid w:val="006833B9"/>
    <w:rsid w:val="006842A4"/>
    <w:rsid w:val="00684886"/>
    <w:rsid w:val="006856CC"/>
    <w:rsid w:val="006868B0"/>
    <w:rsid w:val="00686E4A"/>
    <w:rsid w:val="00687794"/>
    <w:rsid w:val="00694408"/>
    <w:rsid w:val="00695025"/>
    <w:rsid w:val="00695DF8"/>
    <w:rsid w:val="00697210"/>
    <w:rsid w:val="006A023F"/>
    <w:rsid w:val="006A14AB"/>
    <w:rsid w:val="006A2662"/>
    <w:rsid w:val="006A3869"/>
    <w:rsid w:val="006A4898"/>
    <w:rsid w:val="006A57EC"/>
    <w:rsid w:val="006A5FE1"/>
    <w:rsid w:val="006A7EAC"/>
    <w:rsid w:val="006B029D"/>
    <w:rsid w:val="006B1B0A"/>
    <w:rsid w:val="006B2519"/>
    <w:rsid w:val="006B2A73"/>
    <w:rsid w:val="006B3240"/>
    <w:rsid w:val="006B4488"/>
    <w:rsid w:val="006B4AFD"/>
    <w:rsid w:val="006B52EA"/>
    <w:rsid w:val="006B54E5"/>
    <w:rsid w:val="006B5BE9"/>
    <w:rsid w:val="006C0BCB"/>
    <w:rsid w:val="006C0C70"/>
    <w:rsid w:val="006C1AC7"/>
    <w:rsid w:val="006C288A"/>
    <w:rsid w:val="006C3569"/>
    <w:rsid w:val="006C7302"/>
    <w:rsid w:val="006D0ABA"/>
    <w:rsid w:val="006D160A"/>
    <w:rsid w:val="006D3DD1"/>
    <w:rsid w:val="006D4477"/>
    <w:rsid w:val="006D4F87"/>
    <w:rsid w:val="006D6036"/>
    <w:rsid w:val="006D6D76"/>
    <w:rsid w:val="006D7789"/>
    <w:rsid w:val="006E07E8"/>
    <w:rsid w:val="006E39C1"/>
    <w:rsid w:val="006E66F9"/>
    <w:rsid w:val="006E7E0F"/>
    <w:rsid w:val="006F12FD"/>
    <w:rsid w:val="006F3A53"/>
    <w:rsid w:val="006F5A89"/>
    <w:rsid w:val="006F5C35"/>
    <w:rsid w:val="00701211"/>
    <w:rsid w:val="00705240"/>
    <w:rsid w:val="00714839"/>
    <w:rsid w:val="00716BE4"/>
    <w:rsid w:val="0072146B"/>
    <w:rsid w:val="007233A1"/>
    <w:rsid w:val="00723F54"/>
    <w:rsid w:val="00724CC5"/>
    <w:rsid w:val="00726C37"/>
    <w:rsid w:val="00727DC7"/>
    <w:rsid w:val="007338DB"/>
    <w:rsid w:val="00740C30"/>
    <w:rsid w:val="007414F5"/>
    <w:rsid w:val="0074188B"/>
    <w:rsid w:val="00743995"/>
    <w:rsid w:val="007467EA"/>
    <w:rsid w:val="00746F39"/>
    <w:rsid w:val="007521A6"/>
    <w:rsid w:val="0075303D"/>
    <w:rsid w:val="00753D3B"/>
    <w:rsid w:val="007548F7"/>
    <w:rsid w:val="00756D2A"/>
    <w:rsid w:val="00757CDC"/>
    <w:rsid w:val="00757FDE"/>
    <w:rsid w:val="00762A73"/>
    <w:rsid w:val="00765634"/>
    <w:rsid w:val="007673E1"/>
    <w:rsid w:val="00772DA2"/>
    <w:rsid w:val="00773A6B"/>
    <w:rsid w:val="00774C50"/>
    <w:rsid w:val="00775DB3"/>
    <w:rsid w:val="00776965"/>
    <w:rsid w:val="0078342F"/>
    <w:rsid w:val="00783A13"/>
    <w:rsid w:val="00784E12"/>
    <w:rsid w:val="007853FD"/>
    <w:rsid w:val="007900BE"/>
    <w:rsid w:val="00792A8C"/>
    <w:rsid w:val="00795591"/>
    <w:rsid w:val="00796891"/>
    <w:rsid w:val="00797724"/>
    <w:rsid w:val="007A118B"/>
    <w:rsid w:val="007A25F2"/>
    <w:rsid w:val="007A3821"/>
    <w:rsid w:val="007A7769"/>
    <w:rsid w:val="007B40F1"/>
    <w:rsid w:val="007B4288"/>
    <w:rsid w:val="007B6CD8"/>
    <w:rsid w:val="007C0DAC"/>
    <w:rsid w:val="007C15F4"/>
    <w:rsid w:val="007C2270"/>
    <w:rsid w:val="007C48ED"/>
    <w:rsid w:val="007C5937"/>
    <w:rsid w:val="007C7AB1"/>
    <w:rsid w:val="007D0D92"/>
    <w:rsid w:val="007D18B3"/>
    <w:rsid w:val="007D1FFD"/>
    <w:rsid w:val="007D2964"/>
    <w:rsid w:val="007D3E1E"/>
    <w:rsid w:val="007D4E40"/>
    <w:rsid w:val="007D61F9"/>
    <w:rsid w:val="007D7E17"/>
    <w:rsid w:val="007E482C"/>
    <w:rsid w:val="007E57F5"/>
    <w:rsid w:val="007E78C1"/>
    <w:rsid w:val="007F2964"/>
    <w:rsid w:val="007F29AC"/>
    <w:rsid w:val="007F3EC0"/>
    <w:rsid w:val="008034E7"/>
    <w:rsid w:val="0080776D"/>
    <w:rsid w:val="00812501"/>
    <w:rsid w:val="0081305D"/>
    <w:rsid w:val="008149E0"/>
    <w:rsid w:val="008208E0"/>
    <w:rsid w:val="00822215"/>
    <w:rsid w:val="00824EB7"/>
    <w:rsid w:val="008300D2"/>
    <w:rsid w:val="00830857"/>
    <w:rsid w:val="00832135"/>
    <w:rsid w:val="00835419"/>
    <w:rsid w:val="008410E6"/>
    <w:rsid w:val="00841610"/>
    <w:rsid w:val="008428CE"/>
    <w:rsid w:val="00845111"/>
    <w:rsid w:val="008468DC"/>
    <w:rsid w:val="00852FE8"/>
    <w:rsid w:val="00853F76"/>
    <w:rsid w:val="00856F7B"/>
    <w:rsid w:val="00857DF8"/>
    <w:rsid w:val="008610F6"/>
    <w:rsid w:val="0086428A"/>
    <w:rsid w:val="008669DE"/>
    <w:rsid w:val="00866CDF"/>
    <w:rsid w:val="00870756"/>
    <w:rsid w:val="0087254A"/>
    <w:rsid w:val="0087350B"/>
    <w:rsid w:val="0087642D"/>
    <w:rsid w:val="00877076"/>
    <w:rsid w:val="008824EA"/>
    <w:rsid w:val="00882933"/>
    <w:rsid w:val="008864C0"/>
    <w:rsid w:val="0089006C"/>
    <w:rsid w:val="00890896"/>
    <w:rsid w:val="00894843"/>
    <w:rsid w:val="00894E33"/>
    <w:rsid w:val="00896022"/>
    <w:rsid w:val="008A3531"/>
    <w:rsid w:val="008A5AB1"/>
    <w:rsid w:val="008A74CE"/>
    <w:rsid w:val="008B15E4"/>
    <w:rsid w:val="008B3412"/>
    <w:rsid w:val="008B481E"/>
    <w:rsid w:val="008B6C33"/>
    <w:rsid w:val="008C05A8"/>
    <w:rsid w:val="008C3882"/>
    <w:rsid w:val="008C45E6"/>
    <w:rsid w:val="008C476D"/>
    <w:rsid w:val="008C520A"/>
    <w:rsid w:val="008C6198"/>
    <w:rsid w:val="008C683F"/>
    <w:rsid w:val="008D09D8"/>
    <w:rsid w:val="008D5BFB"/>
    <w:rsid w:val="008D6A4F"/>
    <w:rsid w:val="008E3BF0"/>
    <w:rsid w:val="008E4811"/>
    <w:rsid w:val="008E5257"/>
    <w:rsid w:val="008E62FD"/>
    <w:rsid w:val="008E7EC6"/>
    <w:rsid w:val="008F032E"/>
    <w:rsid w:val="008F0796"/>
    <w:rsid w:val="008F3343"/>
    <w:rsid w:val="008F523D"/>
    <w:rsid w:val="008F5976"/>
    <w:rsid w:val="008F6A8B"/>
    <w:rsid w:val="00902582"/>
    <w:rsid w:val="009059F9"/>
    <w:rsid w:val="009065F4"/>
    <w:rsid w:val="00910E27"/>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7E4D"/>
    <w:rsid w:val="009604A1"/>
    <w:rsid w:val="00960615"/>
    <w:rsid w:val="00960D5A"/>
    <w:rsid w:val="00963A8A"/>
    <w:rsid w:val="00966EC1"/>
    <w:rsid w:val="00967787"/>
    <w:rsid w:val="00970F6E"/>
    <w:rsid w:val="00973834"/>
    <w:rsid w:val="00974D0C"/>
    <w:rsid w:val="009751AA"/>
    <w:rsid w:val="009811CD"/>
    <w:rsid w:val="0098479A"/>
    <w:rsid w:val="009902FB"/>
    <w:rsid w:val="00992044"/>
    <w:rsid w:val="00992CBA"/>
    <w:rsid w:val="00993A8D"/>
    <w:rsid w:val="0099449A"/>
    <w:rsid w:val="009975B0"/>
    <w:rsid w:val="009A0324"/>
    <w:rsid w:val="009A2CAF"/>
    <w:rsid w:val="009A5F83"/>
    <w:rsid w:val="009A6B2B"/>
    <w:rsid w:val="009A6D31"/>
    <w:rsid w:val="009A7AD1"/>
    <w:rsid w:val="009B3BB3"/>
    <w:rsid w:val="009B3DFC"/>
    <w:rsid w:val="009B4270"/>
    <w:rsid w:val="009B4332"/>
    <w:rsid w:val="009B6361"/>
    <w:rsid w:val="009C62F7"/>
    <w:rsid w:val="009C770A"/>
    <w:rsid w:val="009C7F04"/>
    <w:rsid w:val="009D0B4C"/>
    <w:rsid w:val="009D17A2"/>
    <w:rsid w:val="009D17AC"/>
    <w:rsid w:val="009D1FFD"/>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3201"/>
    <w:rsid w:val="00A133FE"/>
    <w:rsid w:val="00A150B1"/>
    <w:rsid w:val="00A15B52"/>
    <w:rsid w:val="00A16424"/>
    <w:rsid w:val="00A179A5"/>
    <w:rsid w:val="00A17F37"/>
    <w:rsid w:val="00A20772"/>
    <w:rsid w:val="00A21B4D"/>
    <w:rsid w:val="00A24355"/>
    <w:rsid w:val="00A25DDA"/>
    <w:rsid w:val="00A27765"/>
    <w:rsid w:val="00A27C28"/>
    <w:rsid w:val="00A30660"/>
    <w:rsid w:val="00A33A39"/>
    <w:rsid w:val="00A35440"/>
    <w:rsid w:val="00A40552"/>
    <w:rsid w:val="00A411AA"/>
    <w:rsid w:val="00A424CA"/>
    <w:rsid w:val="00A42EA9"/>
    <w:rsid w:val="00A45873"/>
    <w:rsid w:val="00A479EA"/>
    <w:rsid w:val="00A47BA9"/>
    <w:rsid w:val="00A47F6C"/>
    <w:rsid w:val="00A47F7A"/>
    <w:rsid w:val="00A50FC1"/>
    <w:rsid w:val="00A51833"/>
    <w:rsid w:val="00A519B4"/>
    <w:rsid w:val="00A52160"/>
    <w:rsid w:val="00A56C96"/>
    <w:rsid w:val="00A57DD5"/>
    <w:rsid w:val="00A624AC"/>
    <w:rsid w:val="00A62D42"/>
    <w:rsid w:val="00A6313B"/>
    <w:rsid w:val="00A63C13"/>
    <w:rsid w:val="00A6700D"/>
    <w:rsid w:val="00A716B5"/>
    <w:rsid w:val="00A71A51"/>
    <w:rsid w:val="00A74C2C"/>
    <w:rsid w:val="00A761C9"/>
    <w:rsid w:val="00A80EE4"/>
    <w:rsid w:val="00A821C4"/>
    <w:rsid w:val="00A832CC"/>
    <w:rsid w:val="00A834C4"/>
    <w:rsid w:val="00A86B25"/>
    <w:rsid w:val="00A92A9F"/>
    <w:rsid w:val="00A94A26"/>
    <w:rsid w:val="00A95589"/>
    <w:rsid w:val="00AA0822"/>
    <w:rsid w:val="00AA08DC"/>
    <w:rsid w:val="00AA139B"/>
    <w:rsid w:val="00AA1A18"/>
    <w:rsid w:val="00AA5DEC"/>
    <w:rsid w:val="00AA7823"/>
    <w:rsid w:val="00AB7133"/>
    <w:rsid w:val="00AB7406"/>
    <w:rsid w:val="00AB7FD1"/>
    <w:rsid w:val="00AC1563"/>
    <w:rsid w:val="00AC2B04"/>
    <w:rsid w:val="00AD097A"/>
    <w:rsid w:val="00AD1F4D"/>
    <w:rsid w:val="00AD3B8C"/>
    <w:rsid w:val="00AD4571"/>
    <w:rsid w:val="00AD48F9"/>
    <w:rsid w:val="00AD5A44"/>
    <w:rsid w:val="00AD7D7D"/>
    <w:rsid w:val="00AE0807"/>
    <w:rsid w:val="00AE0D2E"/>
    <w:rsid w:val="00AE0D8C"/>
    <w:rsid w:val="00AE1294"/>
    <w:rsid w:val="00AE412C"/>
    <w:rsid w:val="00AE73C7"/>
    <w:rsid w:val="00AF4C43"/>
    <w:rsid w:val="00AF6B1B"/>
    <w:rsid w:val="00B00335"/>
    <w:rsid w:val="00B01C82"/>
    <w:rsid w:val="00B01E5F"/>
    <w:rsid w:val="00B0336B"/>
    <w:rsid w:val="00B06A05"/>
    <w:rsid w:val="00B06D54"/>
    <w:rsid w:val="00B1307A"/>
    <w:rsid w:val="00B1550F"/>
    <w:rsid w:val="00B16759"/>
    <w:rsid w:val="00B22E8B"/>
    <w:rsid w:val="00B236EC"/>
    <w:rsid w:val="00B27384"/>
    <w:rsid w:val="00B367B3"/>
    <w:rsid w:val="00B367BD"/>
    <w:rsid w:val="00B37658"/>
    <w:rsid w:val="00B4077C"/>
    <w:rsid w:val="00B43D2B"/>
    <w:rsid w:val="00B50146"/>
    <w:rsid w:val="00B50EF9"/>
    <w:rsid w:val="00B57064"/>
    <w:rsid w:val="00B61375"/>
    <w:rsid w:val="00B617EA"/>
    <w:rsid w:val="00B63A38"/>
    <w:rsid w:val="00B66588"/>
    <w:rsid w:val="00B66B91"/>
    <w:rsid w:val="00B67058"/>
    <w:rsid w:val="00B70396"/>
    <w:rsid w:val="00B7116B"/>
    <w:rsid w:val="00B73C09"/>
    <w:rsid w:val="00B81CF9"/>
    <w:rsid w:val="00B822B5"/>
    <w:rsid w:val="00B82638"/>
    <w:rsid w:val="00B8398C"/>
    <w:rsid w:val="00B84A12"/>
    <w:rsid w:val="00B854DE"/>
    <w:rsid w:val="00B953E6"/>
    <w:rsid w:val="00B95AE9"/>
    <w:rsid w:val="00B96328"/>
    <w:rsid w:val="00B971A8"/>
    <w:rsid w:val="00BA0FF2"/>
    <w:rsid w:val="00BA1B5E"/>
    <w:rsid w:val="00BA2AF3"/>
    <w:rsid w:val="00BA75D7"/>
    <w:rsid w:val="00BA77AC"/>
    <w:rsid w:val="00BB0B68"/>
    <w:rsid w:val="00BB1EAB"/>
    <w:rsid w:val="00BB57F9"/>
    <w:rsid w:val="00BB79D7"/>
    <w:rsid w:val="00BB7F70"/>
    <w:rsid w:val="00BC2E3F"/>
    <w:rsid w:val="00BC4183"/>
    <w:rsid w:val="00BC50C3"/>
    <w:rsid w:val="00BC5917"/>
    <w:rsid w:val="00BC6BFE"/>
    <w:rsid w:val="00BC7D83"/>
    <w:rsid w:val="00BD1945"/>
    <w:rsid w:val="00BD3062"/>
    <w:rsid w:val="00BE0998"/>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C00F4C"/>
    <w:rsid w:val="00C0114B"/>
    <w:rsid w:val="00C012E3"/>
    <w:rsid w:val="00C053C1"/>
    <w:rsid w:val="00C07B27"/>
    <w:rsid w:val="00C07F34"/>
    <w:rsid w:val="00C12995"/>
    <w:rsid w:val="00C13BCF"/>
    <w:rsid w:val="00C1705E"/>
    <w:rsid w:val="00C17213"/>
    <w:rsid w:val="00C17431"/>
    <w:rsid w:val="00C2063B"/>
    <w:rsid w:val="00C240D5"/>
    <w:rsid w:val="00C24F3D"/>
    <w:rsid w:val="00C25152"/>
    <w:rsid w:val="00C25F9F"/>
    <w:rsid w:val="00C263BF"/>
    <w:rsid w:val="00C2723A"/>
    <w:rsid w:val="00C27252"/>
    <w:rsid w:val="00C27316"/>
    <w:rsid w:val="00C274B0"/>
    <w:rsid w:val="00C3176B"/>
    <w:rsid w:val="00C32027"/>
    <w:rsid w:val="00C349DE"/>
    <w:rsid w:val="00C44A5F"/>
    <w:rsid w:val="00C469E9"/>
    <w:rsid w:val="00C47D41"/>
    <w:rsid w:val="00C55901"/>
    <w:rsid w:val="00C55CB4"/>
    <w:rsid w:val="00C56298"/>
    <w:rsid w:val="00C57CFD"/>
    <w:rsid w:val="00C57F0A"/>
    <w:rsid w:val="00C61813"/>
    <w:rsid w:val="00C6378C"/>
    <w:rsid w:val="00C63BA6"/>
    <w:rsid w:val="00C640A7"/>
    <w:rsid w:val="00C66046"/>
    <w:rsid w:val="00C726CF"/>
    <w:rsid w:val="00C743B9"/>
    <w:rsid w:val="00C75432"/>
    <w:rsid w:val="00C811BA"/>
    <w:rsid w:val="00C811EF"/>
    <w:rsid w:val="00C81664"/>
    <w:rsid w:val="00C87B2F"/>
    <w:rsid w:val="00C9044D"/>
    <w:rsid w:val="00C91747"/>
    <w:rsid w:val="00C93260"/>
    <w:rsid w:val="00C96B55"/>
    <w:rsid w:val="00C96CEC"/>
    <w:rsid w:val="00CA12C4"/>
    <w:rsid w:val="00CA14DC"/>
    <w:rsid w:val="00CA2842"/>
    <w:rsid w:val="00CA536D"/>
    <w:rsid w:val="00CA6B7F"/>
    <w:rsid w:val="00CA79B9"/>
    <w:rsid w:val="00CB0E19"/>
    <w:rsid w:val="00CB1233"/>
    <w:rsid w:val="00CB3356"/>
    <w:rsid w:val="00CB5A89"/>
    <w:rsid w:val="00CB65FA"/>
    <w:rsid w:val="00CB70E0"/>
    <w:rsid w:val="00CC0B33"/>
    <w:rsid w:val="00CC0F3D"/>
    <w:rsid w:val="00CC1273"/>
    <w:rsid w:val="00CC1BAE"/>
    <w:rsid w:val="00CC56AC"/>
    <w:rsid w:val="00CC7009"/>
    <w:rsid w:val="00CC750F"/>
    <w:rsid w:val="00CD054A"/>
    <w:rsid w:val="00CD1BA4"/>
    <w:rsid w:val="00CD51AD"/>
    <w:rsid w:val="00CD56CB"/>
    <w:rsid w:val="00CD6BFD"/>
    <w:rsid w:val="00CE0939"/>
    <w:rsid w:val="00CE207A"/>
    <w:rsid w:val="00CE346B"/>
    <w:rsid w:val="00CE392E"/>
    <w:rsid w:val="00CE5872"/>
    <w:rsid w:val="00CE7AE4"/>
    <w:rsid w:val="00CE7C35"/>
    <w:rsid w:val="00CF0658"/>
    <w:rsid w:val="00CF0F31"/>
    <w:rsid w:val="00CF1516"/>
    <w:rsid w:val="00CF2B1D"/>
    <w:rsid w:val="00CF2DE0"/>
    <w:rsid w:val="00CF365A"/>
    <w:rsid w:val="00CF46CD"/>
    <w:rsid w:val="00CF7001"/>
    <w:rsid w:val="00D01488"/>
    <w:rsid w:val="00D023B0"/>
    <w:rsid w:val="00D03740"/>
    <w:rsid w:val="00D03A97"/>
    <w:rsid w:val="00D050A4"/>
    <w:rsid w:val="00D054E6"/>
    <w:rsid w:val="00D10502"/>
    <w:rsid w:val="00D115AF"/>
    <w:rsid w:val="00D11FC6"/>
    <w:rsid w:val="00D135B6"/>
    <w:rsid w:val="00D218DD"/>
    <w:rsid w:val="00D2199E"/>
    <w:rsid w:val="00D2278A"/>
    <w:rsid w:val="00D233D4"/>
    <w:rsid w:val="00D2428D"/>
    <w:rsid w:val="00D2485C"/>
    <w:rsid w:val="00D25FB6"/>
    <w:rsid w:val="00D26DAF"/>
    <w:rsid w:val="00D33594"/>
    <w:rsid w:val="00D337E0"/>
    <w:rsid w:val="00D348E4"/>
    <w:rsid w:val="00D3516C"/>
    <w:rsid w:val="00D36F7C"/>
    <w:rsid w:val="00D458F9"/>
    <w:rsid w:val="00D50DD1"/>
    <w:rsid w:val="00D51069"/>
    <w:rsid w:val="00D5237A"/>
    <w:rsid w:val="00D566BC"/>
    <w:rsid w:val="00D618BF"/>
    <w:rsid w:val="00D61E0F"/>
    <w:rsid w:val="00D6770B"/>
    <w:rsid w:val="00D70DA1"/>
    <w:rsid w:val="00D718C4"/>
    <w:rsid w:val="00D71C83"/>
    <w:rsid w:val="00D736FC"/>
    <w:rsid w:val="00D73821"/>
    <w:rsid w:val="00D7466B"/>
    <w:rsid w:val="00D7505E"/>
    <w:rsid w:val="00D759F6"/>
    <w:rsid w:val="00D767A0"/>
    <w:rsid w:val="00D771FE"/>
    <w:rsid w:val="00D807E7"/>
    <w:rsid w:val="00D8110E"/>
    <w:rsid w:val="00D81AE2"/>
    <w:rsid w:val="00D8597A"/>
    <w:rsid w:val="00D863DA"/>
    <w:rsid w:val="00D86E38"/>
    <w:rsid w:val="00D91508"/>
    <w:rsid w:val="00D91C7A"/>
    <w:rsid w:val="00D9274E"/>
    <w:rsid w:val="00D929F4"/>
    <w:rsid w:val="00D937B1"/>
    <w:rsid w:val="00D93D64"/>
    <w:rsid w:val="00D947A6"/>
    <w:rsid w:val="00D94865"/>
    <w:rsid w:val="00DA0ADA"/>
    <w:rsid w:val="00DA17FF"/>
    <w:rsid w:val="00DB223C"/>
    <w:rsid w:val="00DB5E9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365"/>
    <w:rsid w:val="00DE5C5C"/>
    <w:rsid w:val="00DE6F09"/>
    <w:rsid w:val="00DF079F"/>
    <w:rsid w:val="00DF0A19"/>
    <w:rsid w:val="00DF1D81"/>
    <w:rsid w:val="00DF2A30"/>
    <w:rsid w:val="00DF3EEA"/>
    <w:rsid w:val="00DF514F"/>
    <w:rsid w:val="00E02307"/>
    <w:rsid w:val="00E035AB"/>
    <w:rsid w:val="00E04BC1"/>
    <w:rsid w:val="00E06797"/>
    <w:rsid w:val="00E1050E"/>
    <w:rsid w:val="00E11A67"/>
    <w:rsid w:val="00E13525"/>
    <w:rsid w:val="00E158E0"/>
    <w:rsid w:val="00E1774F"/>
    <w:rsid w:val="00E20827"/>
    <w:rsid w:val="00E20F50"/>
    <w:rsid w:val="00E2211D"/>
    <w:rsid w:val="00E221F8"/>
    <w:rsid w:val="00E25F5F"/>
    <w:rsid w:val="00E260B4"/>
    <w:rsid w:val="00E31F8D"/>
    <w:rsid w:val="00E340E3"/>
    <w:rsid w:val="00E36B26"/>
    <w:rsid w:val="00E40EBB"/>
    <w:rsid w:val="00E44744"/>
    <w:rsid w:val="00E457C1"/>
    <w:rsid w:val="00E60F2F"/>
    <w:rsid w:val="00E72F44"/>
    <w:rsid w:val="00E741F1"/>
    <w:rsid w:val="00E76081"/>
    <w:rsid w:val="00E76F15"/>
    <w:rsid w:val="00E807AC"/>
    <w:rsid w:val="00E82CF4"/>
    <w:rsid w:val="00E833E3"/>
    <w:rsid w:val="00E91923"/>
    <w:rsid w:val="00E9196D"/>
    <w:rsid w:val="00E95F5C"/>
    <w:rsid w:val="00EA0A94"/>
    <w:rsid w:val="00EA33F1"/>
    <w:rsid w:val="00EA5001"/>
    <w:rsid w:val="00EA6F22"/>
    <w:rsid w:val="00EB0485"/>
    <w:rsid w:val="00EB0C87"/>
    <w:rsid w:val="00EB2727"/>
    <w:rsid w:val="00EB2C3E"/>
    <w:rsid w:val="00EB3679"/>
    <w:rsid w:val="00EB50A0"/>
    <w:rsid w:val="00EB5D94"/>
    <w:rsid w:val="00EB6606"/>
    <w:rsid w:val="00EC0378"/>
    <w:rsid w:val="00EC3816"/>
    <w:rsid w:val="00EC4612"/>
    <w:rsid w:val="00EC4B14"/>
    <w:rsid w:val="00EC4D2C"/>
    <w:rsid w:val="00EC509F"/>
    <w:rsid w:val="00EC597E"/>
    <w:rsid w:val="00ED0927"/>
    <w:rsid w:val="00ED2EB1"/>
    <w:rsid w:val="00ED622B"/>
    <w:rsid w:val="00ED7B78"/>
    <w:rsid w:val="00EE20A4"/>
    <w:rsid w:val="00EE54DC"/>
    <w:rsid w:val="00EE5CD9"/>
    <w:rsid w:val="00EE628F"/>
    <w:rsid w:val="00EE7EB0"/>
    <w:rsid w:val="00EF4F81"/>
    <w:rsid w:val="00EF710E"/>
    <w:rsid w:val="00F0145A"/>
    <w:rsid w:val="00F0326A"/>
    <w:rsid w:val="00F03AB1"/>
    <w:rsid w:val="00F04CC0"/>
    <w:rsid w:val="00F05983"/>
    <w:rsid w:val="00F0649D"/>
    <w:rsid w:val="00F06D9F"/>
    <w:rsid w:val="00F07DEB"/>
    <w:rsid w:val="00F12B61"/>
    <w:rsid w:val="00F1364F"/>
    <w:rsid w:val="00F137FE"/>
    <w:rsid w:val="00F13CB1"/>
    <w:rsid w:val="00F140A7"/>
    <w:rsid w:val="00F17044"/>
    <w:rsid w:val="00F2490F"/>
    <w:rsid w:val="00F24BF0"/>
    <w:rsid w:val="00F25C93"/>
    <w:rsid w:val="00F273F8"/>
    <w:rsid w:val="00F279FB"/>
    <w:rsid w:val="00F30DE7"/>
    <w:rsid w:val="00F34EA7"/>
    <w:rsid w:val="00F36F91"/>
    <w:rsid w:val="00F37C93"/>
    <w:rsid w:val="00F407A9"/>
    <w:rsid w:val="00F43762"/>
    <w:rsid w:val="00F45710"/>
    <w:rsid w:val="00F46CD5"/>
    <w:rsid w:val="00F46D11"/>
    <w:rsid w:val="00F47B42"/>
    <w:rsid w:val="00F60ACC"/>
    <w:rsid w:val="00F6290B"/>
    <w:rsid w:val="00F62AF2"/>
    <w:rsid w:val="00F636C9"/>
    <w:rsid w:val="00F643BD"/>
    <w:rsid w:val="00F65426"/>
    <w:rsid w:val="00F70009"/>
    <w:rsid w:val="00F73225"/>
    <w:rsid w:val="00F7393D"/>
    <w:rsid w:val="00F74AD0"/>
    <w:rsid w:val="00F836C3"/>
    <w:rsid w:val="00F83F55"/>
    <w:rsid w:val="00F8499D"/>
    <w:rsid w:val="00F85374"/>
    <w:rsid w:val="00F875DA"/>
    <w:rsid w:val="00F901B9"/>
    <w:rsid w:val="00F92C13"/>
    <w:rsid w:val="00F92C65"/>
    <w:rsid w:val="00F944F9"/>
    <w:rsid w:val="00FA005F"/>
    <w:rsid w:val="00FA0A0C"/>
    <w:rsid w:val="00FA1F2C"/>
    <w:rsid w:val="00FA3CCE"/>
    <w:rsid w:val="00FA5504"/>
    <w:rsid w:val="00FA6610"/>
    <w:rsid w:val="00FA6645"/>
    <w:rsid w:val="00FB2AD9"/>
    <w:rsid w:val="00FB454B"/>
    <w:rsid w:val="00FC1ED6"/>
    <w:rsid w:val="00FC20B2"/>
    <w:rsid w:val="00FC2184"/>
    <w:rsid w:val="00FC4EFF"/>
    <w:rsid w:val="00FC57E1"/>
    <w:rsid w:val="00FC679E"/>
    <w:rsid w:val="00FC683B"/>
    <w:rsid w:val="00FD0486"/>
    <w:rsid w:val="00FD109A"/>
    <w:rsid w:val="00FD1E2A"/>
    <w:rsid w:val="00FD2149"/>
    <w:rsid w:val="00FD2FCA"/>
    <w:rsid w:val="00FD3C6E"/>
    <w:rsid w:val="00FD5927"/>
    <w:rsid w:val="00FD65EE"/>
    <w:rsid w:val="00FD7547"/>
    <w:rsid w:val="00FD780B"/>
    <w:rsid w:val="00FD7C95"/>
    <w:rsid w:val="00FE134D"/>
    <w:rsid w:val="00FE15B3"/>
    <w:rsid w:val="00FE31EA"/>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91,#482f92"/>
    </o:shapedefaults>
    <o:shapelayout v:ext="edit">
      <o:idmap v:ext="edit" data="1"/>
    </o:shapelayout>
  </w:shapeDefaults>
  <w:decimalSymbol w:val="."/>
  <w:listSeparator w:val=","/>
  <w14:docId w14:val="7B8D9C33"/>
  <w15:docId w15:val="{3067A08F-A377-4FE8-BB36-22D498E2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716BE4"/>
    <w:pPr>
      <w:spacing w:before="240" w:after="240"/>
      <w:outlineLvl w:val="2"/>
    </w:pPr>
    <w:rPr>
      <w:b/>
      <w:sz w:val="24"/>
    </w:rPr>
  </w:style>
  <w:style w:type="paragraph" w:styleId="Heading4">
    <w:name w:val="heading 4"/>
    <w:basedOn w:val="Normal"/>
    <w:next w:val="Normal"/>
    <w:link w:val="Heading4Char"/>
    <w:qFormat/>
    <w:rsid w:val="00716BE4"/>
    <w:pPr>
      <w:spacing w:before="240"/>
      <w:outlineLvl w:val="3"/>
    </w:pPr>
    <w:rPr>
      <w:b/>
      <w:szCs w:val="22"/>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6C7302"/>
    <w:pPr>
      <w:tabs>
        <w:tab w:val="right" w:pos="8296"/>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716BE4"/>
    <w:rPr>
      <w:rFonts w:ascii="Calibri" w:hAnsi="Calibri"/>
      <w:b/>
      <w:sz w:val="22"/>
      <w:szCs w:val="22"/>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uiPriority w:val="22"/>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5"/>
      </w:numPr>
    </w:pPr>
    <w:rPr>
      <w:color w:val="000000"/>
      <w:sz w:val="18"/>
      <w:szCs w:val="18"/>
    </w:rPr>
  </w:style>
  <w:style w:type="character" w:styleId="CommentReference">
    <w:name w:val="annotation reference"/>
    <w:basedOn w:val="DefaultParagraphFont"/>
    <w:uiPriority w:val="99"/>
    <w:rsid w:val="00E11A67"/>
    <w:rPr>
      <w:sz w:val="16"/>
      <w:szCs w:val="16"/>
    </w:rPr>
  </w:style>
  <w:style w:type="paragraph" w:styleId="CommentText">
    <w:name w:val="annotation text"/>
    <w:basedOn w:val="Normal"/>
    <w:link w:val="CommentTextChar"/>
    <w:uiPriority w:val="99"/>
    <w:rsid w:val="00E11A67"/>
    <w:rPr>
      <w:sz w:val="20"/>
      <w:szCs w:val="20"/>
    </w:rPr>
  </w:style>
  <w:style w:type="character" w:customStyle="1" w:styleId="CommentTextChar">
    <w:name w:val="Comment Text Char"/>
    <w:basedOn w:val="DefaultParagraphFont"/>
    <w:link w:val="CommentText"/>
    <w:uiPriority w:val="99"/>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1"/>
      </w:numPr>
      <w:contextualSpacing/>
    </w:pPr>
  </w:style>
  <w:style w:type="paragraph" w:styleId="ListBullet2">
    <w:name w:val="List Bullet 2"/>
    <w:basedOn w:val="Normal"/>
    <w:link w:val="ListBullet2Char"/>
    <w:rsid w:val="0000043B"/>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6"/>
      </w:numPr>
      <w:contextualSpacing/>
    </w:pPr>
  </w:style>
  <w:style w:type="paragraph" w:styleId="List2">
    <w:name w:val="List 2"/>
    <w:basedOn w:val="Normal"/>
    <w:link w:val="List2Char"/>
    <w:rsid w:val="0000043B"/>
    <w:pPr>
      <w:numPr>
        <w:ilvl w:val="1"/>
        <w:numId w:val="6"/>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1A5DA1"/>
    <w:pPr>
      <w:tabs>
        <w:tab w:val="right" w:pos="8296"/>
      </w:tabs>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ListParagraph">
    <w:name w:val="List Paragraph"/>
    <w:basedOn w:val="Normal"/>
    <w:uiPriority w:val="34"/>
    <w:qFormat/>
    <w:rsid w:val="00716BE4"/>
    <w:pPr>
      <w:ind w:left="720"/>
      <w:contextualSpacing/>
    </w:pPr>
  </w:style>
  <w:style w:type="paragraph" w:customStyle="1" w:styleId="Bullet1">
    <w:name w:val="Bullet 1"/>
    <w:basedOn w:val="Normal"/>
    <w:qFormat/>
    <w:rsid w:val="005502F7"/>
    <w:pPr>
      <w:suppressAutoHyphens/>
      <w:spacing w:before="120" w:after="80" w:line="280" w:lineRule="exact"/>
    </w:pPr>
    <w:rPr>
      <w:rFonts w:asciiTheme="minorHAnsi" w:eastAsiaTheme="minorHAnsi" w:hAnsiTheme="minorHAnsi" w:cstheme="minorBidi"/>
      <w:color w:val="C0504D" w:themeColor="accent2"/>
      <w:sz w:val="24"/>
      <w:szCs w:val="22"/>
      <w:lang w:eastAsia="en-US"/>
    </w:rPr>
  </w:style>
  <w:style w:type="paragraph" w:customStyle="1" w:styleId="NormalIndented">
    <w:name w:val="Normal Indented"/>
    <w:basedOn w:val="Normal"/>
    <w:qFormat/>
    <w:rsid w:val="00170CD2"/>
    <w:pPr>
      <w:suppressAutoHyphens/>
      <w:spacing w:before="180" w:after="80" w:line="280" w:lineRule="exact"/>
      <w:ind w:left="284"/>
    </w:pPr>
    <w:rPr>
      <w:rFonts w:asciiTheme="minorHAnsi" w:eastAsiaTheme="minorHAnsi" w:hAnsiTheme="minorHAnsi" w:cstheme="minorBidi"/>
      <w:color w:val="C0504D" w:themeColor="accent2"/>
      <w:sz w:val="24"/>
      <w:szCs w:val="22"/>
      <w:lang w:eastAsia="en-US"/>
    </w:rPr>
  </w:style>
  <w:style w:type="paragraph" w:styleId="NoSpacing">
    <w:name w:val="No Spacing"/>
    <w:aliases w:val="Body"/>
    <w:link w:val="NoSpacingChar"/>
    <w:uiPriority w:val="1"/>
    <w:qFormat/>
    <w:rsid w:val="00D7505E"/>
    <w:pPr>
      <w:suppressAutoHyphens/>
    </w:pPr>
    <w:rPr>
      <w:rFonts w:asciiTheme="minorHAnsi" w:eastAsiaTheme="minorHAnsi" w:hAnsiTheme="minorHAnsi" w:cstheme="minorBidi"/>
      <w:color w:val="C0504D" w:themeColor="accent2"/>
      <w:sz w:val="24"/>
      <w:szCs w:val="22"/>
      <w:lang w:eastAsia="en-US"/>
    </w:rPr>
  </w:style>
  <w:style w:type="table" w:customStyle="1" w:styleId="TableGrid1">
    <w:name w:val="Table Grid1"/>
    <w:basedOn w:val="TableNormal"/>
    <w:next w:val="TableGrid"/>
    <w:rsid w:val="007D0D9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55711"/>
    <w:pPr>
      <w:pBdr>
        <w:top w:val="nil"/>
        <w:left w:val="nil"/>
        <w:bottom w:val="nil"/>
        <w:right w:val="nil"/>
        <w:between w:val="nil"/>
        <w:bar w:val="nil"/>
      </w:pBdr>
      <w:spacing w:after="200" w:line="288" w:lineRule="auto"/>
    </w:pPr>
    <w:rPr>
      <w:rFonts w:ascii="FS Me Pro Light" w:eastAsia="Arial Unicode MS" w:hAnsi="FS Me Pro Light" w:cs="Arial Unicode MS"/>
      <w:color w:val="000000"/>
      <w:u w:color="000000"/>
      <w:bdr w:val="nil"/>
      <w:lang w:val="it-IT" w:eastAsia="en-US"/>
    </w:rPr>
  </w:style>
  <w:style w:type="character" w:customStyle="1" w:styleId="NoSpacingChar">
    <w:name w:val="No Spacing Char"/>
    <w:aliases w:val="Body Char"/>
    <w:basedOn w:val="DefaultParagraphFont"/>
    <w:link w:val="NoSpacing"/>
    <w:uiPriority w:val="1"/>
    <w:rsid w:val="00455711"/>
    <w:rPr>
      <w:rFonts w:asciiTheme="minorHAnsi" w:eastAsiaTheme="minorHAnsi" w:hAnsiTheme="minorHAnsi" w:cstheme="minorBidi"/>
      <w:color w:val="C0504D" w:themeColor="accent2"/>
      <w:sz w:val="24"/>
      <w:szCs w:val="22"/>
      <w:lang w:eastAsia="en-US"/>
    </w:rPr>
  </w:style>
  <w:style w:type="character" w:styleId="FollowedHyperlink">
    <w:name w:val="FollowedHyperlink"/>
    <w:basedOn w:val="DefaultParagraphFont"/>
    <w:semiHidden/>
    <w:unhideWhenUsed/>
    <w:rsid w:val="00CF0658"/>
    <w:rPr>
      <w:color w:val="800080" w:themeColor="followedHyperlink"/>
      <w:u w:val="single"/>
    </w:rPr>
  </w:style>
  <w:style w:type="paragraph" w:styleId="Revision">
    <w:name w:val="Revision"/>
    <w:hidden/>
    <w:uiPriority w:val="99"/>
    <w:semiHidden/>
    <w:rsid w:val="001A5DA1"/>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0805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jobaccess.gov.au/people-with-disability/accessabilityday/promotional-materia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PRINFNAS002N\Shared\SESG\SPECIAL\DES%20Reform%202018\DES%20Guidelines%202018\www.jobaccess.gov.au\accessabilityda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jobaccess.gov.au/employment-assistance-fund-eaf" TargetMode="External"/><Relationship Id="rId25" Type="http://schemas.openxmlformats.org/officeDocument/2006/relationships/hyperlink" Target="http://www.jobs.gov.au/youth-jobs-path" TargetMode="External"/><Relationship Id="rId2" Type="http://schemas.openxmlformats.org/officeDocument/2006/relationships/customXml" Target="../customXml/item2.xml"/><Relationship Id="rId16" Type="http://schemas.openxmlformats.org/officeDocument/2006/relationships/hyperlink" Target="http://www.jobaccess.gov.au/accessabilityday" TargetMode="External"/><Relationship Id="rId20" Type="http://schemas.openxmlformats.org/officeDocument/2006/relationships/image" Target="media/image2.png"/><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jobs.gov.au/national-work-experience-programme" TargetMode="External"/><Relationship Id="rId5" Type="http://schemas.openxmlformats.org/officeDocument/2006/relationships/customXml" Target="../customXml/item5.xml"/><Relationship Id="rId15" Type="http://schemas.openxmlformats.org/officeDocument/2006/relationships/hyperlink" Target="http://www.jobaccess.gov.au/accessabilityday" TargetMode="External"/><Relationship Id="rId23" Type="http://schemas.openxmlformats.org/officeDocument/2006/relationships/hyperlink" Target="http://www.jobaccess.gov.au"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dss.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cessabilityday@workfocus.com" TargetMode="External"/><Relationship Id="rId22" Type="http://schemas.openxmlformats.org/officeDocument/2006/relationships/hyperlink" Target="mailto:accessabilityday@workfocus.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2.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3.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http://schemas.microsoft.com/sharepoint/v3/fields"/>
    <ds:schemaRef ds:uri="4ff5bc6b-1238-418a-b0ee-f48830a30d62"/>
  </ds:schemaRefs>
</ds:datastoreItem>
</file>

<file path=customXml/itemProps4.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9BC5D-8EA9-4865-9621-0B20CD36D858}">
  <ds:schemaRefs>
    <ds:schemaRef ds:uri="office.server.policy"/>
  </ds:schemaRefs>
</ds:datastoreItem>
</file>

<file path=customXml/itemProps6.xml><?xml version="1.0" encoding="utf-8"?>
<ds:datastoreItem xmlns:ds="http://schemas.openxmlformats.org/officeDocument/2006/customXml" ds:itemID="{8C7EC307-D1CE-41C2-A81F-6DF2B3A6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AccessAbility Day Provider Guidelines</vt:lpstr>
    </vt:vector>
  </TitlesOfParts>
  <Company>Australian Government</Company>
  <LinksUpToDate>false</LinksUpToDate>
  <CharactersWithSpaces>30890</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AccessAbility Day Provider Guidelines</dc:title>
  <dc:creator>Department of Social Services</dc:creator>
  <cp:lastModifiedBy>SUTHERLAND, Jackie</cp:lastModifiedBy>
  <cp:revision>2</cp:revision>
  <cp:lastPrinted>2018-09-07T04:00:00Z</cp:lastPrinted>
  <dcterms:created xsi:type="dcterms:W3CDTF">2018-10-09T02:20:00Z</dcterms:created>
  <dcterms:modified xsi:type="dcterms:W3CDTF">2018-10-09T02:20:00Z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ies>
</file>