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34" w:rsidRDefault="00375E81" w:rsidP="00375E81">
      <w:pPr>
        <w:spacing w:before="240" w:after="120" w:line="240" w:lineRule="auto"/>
        <w:rPr>
          <w:rFonts w:ascii="Arial" w:eastAsia="Calibri" w:hAnsi="Arial" w:cs="Arial"/>
          <w:sz w:val="22"/>
          <w:lang w:val="en-US"/>
        </w:rPr>
      </w:pPr>
      <w:r w:rsidRPr="00375E81">
        <w:rPr>
          <w:rFonts w:asciiTheme="majorHAnsi" w:eastAsiaTheme="majorEastAsia" w:hAnsiTheme="majorHAnsi" w:cstheme="majorBidi"/>
          <w:b/>
          <w:bCs/>
          <w:color w:val="850F6D" w:themeColor="text2"/>
          <w:kern w:val="28"/>
          <w:sz w:val="60"/>
          <w:szCs w:val="60"/>
        </w:rPr>
        <w:t>Employers set to benefit from new disability employment toolkit</w:t>
      </w:r>
    </w:p>
    <w:p w:rsidR="00375E81" w:rsidRDefault="00375E81" w:rsidP="00375E81">
      <w:pPr>
        <w:jc w:val="left"/>
        <w:rPr>
          <w:rFonts w:ascii="Arial" w:eastAsia="Calibri" w:hAnsi="Arial" w:cs="Arial"/>
          <w:sz w:val="22"/>
          <w:lang w:val="en-US"/>
        </w:rPr>
      </w:pP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 xml:space="preserve">The Australia Government today launched a comprehensive Employer Toolkit to help employers hire people with disability and build their </w:t>
      </w:r>
      <w:proofErr w:type="spellStart"/>
      <w:r w:rsidRPr="00375E81">
        <w:rPr>
          <w:rFonts w:ascii="Arial" w:eastAsia="Calibri" w:hAnsi="Arial" w:cs="Arial"/>
          <w:sz w:val="22"/>
          <w:lang w:val="en-US"/>
        </w:rPr>
        <w:t>organisation’s</w:t>
      </w:r>
      <w:proofErr w:type="spellEnd"/>
      <w:r w:rsidRPr="00375E81">
        <w:rPr>
          <w:rFonts w:ascii="Arial" w:eastAsia="Calibri" w:hAnsi="Arial" w:cs="Arial"/>
          <w:sz w:val="22"/>
          <w:lang w:val="en-US"/>
        </w:rPr>
        <w:t xml:space="preserve"> disability confidence and competence.</w:t>
      </w: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The Employer Toolkit is an online resource to guide employ</w:t>
      </w:r>
      <w:r>
        <w:rPr>
          <w:rFonts w:ascii="Arial" w:eastAsia="Calibri" w:hAnsi="Arial" w:cs="Arial"/>
          <w:sz w:val="22"/>
          <w:lang w:val="en-US"/>
        </w:rPr>
        <w:t xml:space="preserve">ers through the entire process </w:t>
      </w:r>
      <w:r w:rsidRPr="00375E81">
        <w:rPr>
          <w:rFonts w:ascii="Arial" w:eastAsia="Calibri" w:hAnsi="Arial" w:cs="Arial"/>
          <w:sz w:val="22"/>
          <w:lang w:val="en-US"/>
        </w:rPr>
        <w:t xml:space="preserve">of employing people with disability, using simple, straightforward </w:t>
      </w:r>
      <w:r>
        <w:rPr>
          <w:rFonts w:ascii="Arial" w:eastAsia="Calibri" w:hAnsi="Arial" w:cs="Arial"/>
          <w:sz w:val="22"/>
          <w:lang w:val="en-US"/>
        </w:rPr>
        <w:t>videos, downloadable resources</w:t>
      </w:r>
      <w:r w:rsidRPr="00375E81">
        <w:rPr>
          <w:rFonts w:ascii="Arial" w:eastAsia="Calibri" w:hAnsi="Arial" w:cs="Arial"/>
          <w:sz w:val="22"/>
          <w:lang w:val="en-US"/>
        </w:rPr>
        <w:t xml:space="preserve"> and highlighting real-life case studies. </w:t>
      </w: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 xml:space="preserve">Assistant Minister for Social Services, Housing and Disability </w:t>
      </w:r>
      <w:r>
        <w:rPr>
          <w:rFonts w:ascii="Arial" w:eastAsia="Calibri" w:hAnsi="Arial" w:cs="Arial"/>
          <w:sz w:val="22"/>
          <w:lang w:val="en-US"/>
        </w:rPr>
        <w:t xml:space="preserve">Services, Sarah Henderson said </w:t>
      </w:r>
      <w:r w:rsidRPr="00375E81">
        <w:rPr>
          <w:rFonts w:ascii="Arial" w:eastAsia="Calibri" w:hAnsi="Arial" w:cs="Arial"/>
          <w:sz w:val="22"/>
          <w:lang w:val="en-US"/>
        </w:rPr>
        <w:t>one in five Australians live with disability. By making hiring proce</w:t>
      </w:r>
      <w:r>
        <w:rPr>
          <w:rFonts w:ascii="Arial" w:eastAsia="Calibri" w:hAnsi="Arial" w:cs="Arial"/>
          <w:sz w:val="22"/>
          <w:lang w:val="en-US"/>
        </w:rPr>
        <w:t xml:space="preserve">sses more inclusive, employers </w:t>
      </w:r>
      <w:r w:rsidRPr="00375E81">
        <w:rPr>
          <w:rFonts w:ascii="Arial" w:eastAsia="Calibri" w:hAnsi="Arial" w:cs="Arial"/>
          <w:sz w:val="22"/>
          <w:lang w:val="en-US"/>
        </w:rPr>
        <w:t>can access a huge, untapped pool of talent.</w:t>
      </w: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 xml:space="preserve">“The Employer Toolkit will empower employers to give the one million Australians with disability looking for work, the same opportunity as everyone else – to demonstrate that they are capable, reliable and above all, employable,” </w:t>
      </w:r>
      <w:proofErr w:type="spellStart"/>
      <w:r w:rsidRPr="00375E81">
        <w:rPr>
          <w:rFonts w:ascii="Arial" w:eastAsia="Calibri" w:hAnsi="Arial" w:cs="Arial"/>
          <w:sz w:val="22"/>
          <w:lang w:val="en-US"/>
        </w:rPr>
        <w:t>Ms</w:t>
      </w:r>
      <w:proofErr w:type="spellEnd"/>
      <w:r w:rsidRPr="00375E81">
        <w:rPr>
          <w:rFonts w:ascii="Arial" w:eastAsia="Calibri" w:hAnsi="Arial" w:cs="Arial"/>
          <w:sz w:val="22"/>
          <w:lang w:val="en-US"/>
        </w:rPr>
        <w:t xml:space="preserve"> Henderson said. </w:t>
      </w: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 xml:space="preserve">The Employer Toolkit </w:t>
      </w:r>
      <w:proofErr w:type="gramStart"/>
      <w:r w:rsidRPr="00375E81">
        <w:rPr>
          <w:rFonts w:ascii="Arial" w:eastAsia="Calibri" w:hAnsi="Arial" w:cs="Arial"/>
          <w:sz w:val="22"/>
          <w:lang w:val="en-US"/>
        </w:rPr>
        <w:t>has been created</w:t>
      </w:r>
      <w:proofErr w:type="gramEnd"/>
      <w:r w:rsidRPr="00375E81">
        <w:rPr>
          <w:rFonts w:ascii="Arial" w:eastAsia="Calibri" w:hAnsi="Arial" w:cs="Arial"/>
          <w:sz w:val="22"/>
          <w:lang w:val="en-US"/>
        </w:rPr>
        <w:t xml:space="preserve"> as part of the </w:t>
      </w:r>
      <w:r w:rsidRPr="00375E81">
        <w:rPr>
          <w:rFonts w:ascii="Arial" w:eastAsia="Calibri" w:hAnsi="Arial" w:cs="Arial"/>
          <w:i/>
          <w:sz w:val="22"/>
          <w:lang w:val="en-US"/>
        </w:rPr>
        <w:t>Employ their Ability</w:t>
      </w:r>
      <w:r>
        <w:rPr>
          <w:rFonts w:ascii="Arial" w:eastAsia="Calibri" w:hAnsi="Arial" w:cs="Arial"/>
          <w:sz w:val="22"/>
          <w:lang w:val="en-US"/>
        </w:rPr>
        <w:t xml:space="preserve"> campaign that aims </w:t>
      </w:r>
      <w:r w:rsidRPr="00375E81">
        <w:rPr>
          <w:rFonts w:ascii="Arial" w:eastAsia="Calibri" w:hAnsi="Arial" w:cs="Arial"/>
          <w:sz w:val="22"/>
          <w:lang w:val="en-US"/>
        </w:rPr>
        <w:t xml:space="preserve">to highlight the benefits of employing people with disability and raise awareness of the Australian Government supports available to assist large </w:t>
      </w:r>
      <w:proofErr w:type="spellStart"/>
      <w:r w:rsidRPr="00375E81">
        <w:rPr>
          <w:rFonts w:ascii="Arial" w:eastAsia="Calibri" w:hAnsi="Arial" w:cs="Arial"/>
          <w:sz w:val="22"/>
          <w:lang w:val="en-US"/>
        </w:rPr>
        <w:t>organisations</w:t>
      </w:r>
      <w:proofErr w:type="spellEnd"/>
      <w:r w:rsidRPr="00375E81">
        <w:rPr>
          <w:rFonts w:ascii="Arial" w:eastAsia="Calibri" w:hAnsi="Arial" w:cs="Arial"/>
          <w:sz w:val="22"/>
          <w:lang w:val="en-US"/>
        </w:rPr>
        <w:t>.</w:t>
      </w:r>
    </w:p>
    <w:p w:rsidR="00375E81" w:rsidRPr="00375E81" w:rsidRDefault="00375E81" w:rsidP="00375E81">
      <w:pPr>
        <w:jc w:val="left"/>
        <w:rPr>
          <w:rFonts w:ascii="Arial" w:eastAsia="Calibri" w:hAnsi="Arial" w:cs="Arial"/>
          <w:sz w:val="22"/>
          <w:lang w:val="en-US"/>
        </w:rPr>
      </w:pPr>
      <w:proofErr w:type="spellStart"/>
      <w:r w:rsidRPr="00375E81">
        <w:rPr>
          <w:rFonts w:ascii="Arial" w:eastAsia="Calibri" w:hAnsi="Arial" w:cs="Arial"/>
          <w:sz w:val="22"/>
          <w:lang w:val="en-US"/>
        </w:rPr>
        <w:t>Ms</w:t>
      </w:r>
      <w:proofErr w:type="spellEnd"/>
      <w:r w:rsidRPr="00375E81">
        <w:rPr>
          <w:rFonts w:ascii="Arial" w:eastAsia="Calibri" w:hAnsi="Arial" w:cs="Arial"/>
          <w:sz w:val="22"/>
          <w:lang w:val="en-US"/>
        </w:rPr>
        <w:t xml:space="preserve"> Henderson also announced the Employer Toolkit would su</w:t>
      </w:r>
      <w:r>
        <w:rPr>
          <w:rFonts w:ascii="Arial" w:eastAsia="Calibri" w:hAnsi="Arial" w:cs="Arial"/>
          <w:sz w:val="22"/>
          <w:lang w:val="en-US"/>
        </w:rPr>
        <w:t xml:space="preserve">pport new work targeting small </w:t>
      </w:r>
      <w:r w:rsidRPr="00375E81">
        <w:rPr>
          <w:rFonts w:ascii="Arial" w:eastAsia="Calibri" w:hAnsi="Arial" w:cs="Arial"/>
          <w:sz w:val="22"/>
          <w:lang w:val="en-US"/>
        </w:rPr>
        <w:t xml:space="preserve">and medium-sized enterprises. Following new research findings in the </w:t>
      </w:r>
      <w:r w:rsidRPr="00375E81">
        <w:rPr>
          <w:rFonts w:ascii="Arial" w:eastAsia="Calibri" w:hAnsi="Arial" w:cs="Arial"/>
          <w:i/>
          <w:sz w:val="22"/>
          <w:lang w:val="en-US"/>
        </w:rPr>
        <w:t>Making it Easier for Small Business to employ people with disability</w:t>
      </w:r>
      <w:r w:rsidRPr="00375E81">
        <w:rPr>
          <w:rFonts w:ascii="Arial" w:eastAsia="Calibri" w:hAnsi="Arial" w:cs="Arial"/>
          <w:sz w:val="22"/>
          <w:lang w:val="en-US"/>
        </w:rPr>
        <w:t xml:space="preserve"> report, half of the business</w:t>
      </w:r>
      <w:r>
        <w:rPr>
          <w:rFonts w:ascii="Arial" w:eastAsia="Calibri" w:hAnsi="Arial" w:cs="Arial"/>
          <w:sz w:val="22"/>
          <w:lang w:val="en-US"/>
        </w:rPr>
        <w:t xml:space="preserve">es surveyed were open </w:t>
      </w:r>
      <w:r w:rsidRPr="00375E81">
        <w:rPr>
          <w:rFonts w:ascii="Arial" w:eastAsia="Calibri" w:hAnsi="Arial" w:cs="Arial"/>
          <w:sz w:val="22"/>
          <w:lang w:val="en-US"/>
        </w:rPr>
        <w:t>to employing a person with a disability, but lack resources specific for small businesses.</w:t>
      </w:r>
    </w:p>
    <w:p w:rsidR="00375E81" w:rsidRPr="00375E81" w:rsidRDefault="00375E81" w:rsidP="00375E81">
      <w:pPr>
        <w:jc w:val="left"/>
        <w:rPr>
          <w:rFonts w:ascii="Arial" w:eastAsia="Calibri" w:hAnsi="Arial" w:cs="Arial"/>
          <w:sz w:val="22"/>
          <w:lang w:val="en-US"/>
        </w:rPr>
      </w:pPr>
      <w:proofErr w:type="spellStart"/>
      <w:r w:rsidRPr="00375E81">
        <w:rPr>
          <w:rFonts w:ascii="Arial" w:eastAsia="Calibri" w:hAnsi="Arial" w:cs="Arial"/>
          <w:sz w:val="22"/>
          <w:lang w:val="en-US"/>
        </w:rPr>
        <w:t>Ms</w:t>
      </w:r>
      <w:proofErr w:type="spellEnd"/>
      <w:r w:rsidRPr="00375E81">
        <w:rPr>
          <w:rFonts w:ascii="Arial" w:eastAsia="Calibri" w:hAnsi="Arial" w:cs="Arial"/>
          <w:sz w:val="22"/>
          <w:lang w:val="en-US"/>
        </w:rPr>
        <w:t xml:space="preserve"> Henderson said the Employer Toolkit would encourage mor</w:t>
      </w:r>
      <w:r>
        <w:rPr>
          <w:rFonts w:ascii="Arial" w:eastAsia="Calibri" w:hAnsi="Arial" w:cs="Arial"/>
          <w:sz w:val="22"/>
          <w:lang w:val="en-US"/>
        </w:rPr>
        <w:t xml:space="preserve">e employers from </w:t>
      </w:r>
      <w:proofErr w:type="spellStart"/>
      <w:r>
        <w:rPr>
          <w:rFonts w:ascii="Arial" w:eastAsia="Calibri" w:hAnsi="Arial" w:cs="Arial"/>
          <w:sz w:val="22"/>
          <w:lang w:val="en-US"/>
        </w:rPr>
        <w:t>organisations</w:t>
      </w:r>
      <w:proofErr w:type="spellEnd"/>
      <w:r>
        <w:rPr>
          <w:rFonts w:ascii="Arial" w:eastAsia="Calibri" w:hAnsi="Arial" w:cs="Arial"/>
          <w:sz w:val="22"/>
          <w:lang w:val="en-US"/>
        </w:rPr>
        <w:t xml:space="preserve"> </w:t>
      </w:r>
      <w:r w:rsidRPr="00375E81">
        <w:rPr>
          <w:rFonts w:ascii="Arial" w:eastAsia="Calibri" w:hAnsi="Arial" w:cs="Arial"/>
          <w:sz w:val="22"/>
          <w:lang w:val="en-US"/>
        </w:rPr>
        <w:t xml:space="preserve">of all sizes to hire people with disability. </w:t>
      </w: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 xml:space="preserve">“These resources are specifically designed to be user-friendly so time-poor, corporate professionals can quickly access and absorb the practical information to assist them navigate disability employment,” </w:t>
      </w:r>
      <w:proofErr w:type="spellStart"/>
      <w:r w:rsidRPr="00375E81">
        <w:rPr>
          <w:rFonts w:ascii="Arial" w:eastAsia="Calibri" w:hAnsi="Arial" w:cs="Arial"/>
          <w:sz w:val="22"/>
          <w:lang w:val="en-US"/>
        </w:rPr>
        <w:t>Ms</w:t>
      </w:r>
      <w:proofErr w:type="spellEnd"/>
      <w:r w:rsidRPr="00375E81">
        <w:rPr>
          <w:rFonts w:ascii="Arial" w:eastAsia="Calibri" w:hAnsi="Arial" w:cs="Arial"/>
          <w:sz w:val="22"/>
          <w:lang w:val="en-US"/>
        </w:rPr>
        <w:t xml:space="preserve"> Henderson said.</w:t>
      </w: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 xml:space="preserve">“Our goal is to create awareness and let all employers know that support is available. The Employer Toolkit is there to help.” </w:t>
      </w: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The Employer Toolkit covers a range of topics relating to disability employment, including creating inclusive policies, finding and interviewing jobseekers with disa</w:t>
      </w:r>
      <w:r>
        <w:rPr>
          <w:rFonts w:ascii="Arial" w:eastAsia="Calibri" w:hAnsi="Arial" w:cs="Arial"/>
          <w:sz w:val="22"/>
          <w:lang w:val="en-US"/>
        </w:rPr>
        <w:t xml:space="preserve">bility, and making adjustments </w:t>
      </w:r>
      <w:r w:rsidRPr="00375E81">
        <w:rPr>
          <w:rFonts w:ascii="Arial" w:eastAsia="Calibri" w:hAnsi="Arial" w:cs="Arial"/>
          <w:sz w:val="22"/>
          <w:lang w:val="en-US"/>
        </w:rPr>
        <w:t>in the workplace.</w:t>
      </w: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 xml:space="preserve">“Research shows the biggest barriers to hiring people with disability are concerns about integration, and a lack of awareness and understanding. The Employer Toolkit takes hirers through every step of the process, providing the support and information they need to get started.” </w:t>
      </w:r>
      <w:proofErr w:type="spellStart"/>
      <w:r w:rsidRPr="00375E81">
        <w:rPr>
          <w:rFonts w:ascii="Arial" w:eastAsia="Calibri" w:hAnsi="Arial" w:cs="Arial"/>
          <w:sz w:val="22"/>
          <w:lang w:val="en-US"/>
        </w:rPr>
        <w:t>Ms</w:t>
      </w:r>
      <w:proofErr w:type="spellEnd"/>
      <w:r w:rsidRPr="00375E81">
        <w:rPr>
          <w:rFonts w:ascii="Arial" w:eastAsia="Calibri" w:hAnsi="Arial" w:cs="Arial"/>
          <w:sz w:val="22"/>
          <w:lang w:val="en-US"/>
        </w:rPr>
        <w:t xml:space="preserve"> Henderson said. </w:t>
      </w:r>
    </w:p>
    <w:p w:rsidR="00082A93" w:rsidRDefault="00082A93">
      <w:pPr>
        <w:suppressAutoHyphens w:val="0"/>
        <w:spacing w:before="0" w:after="120" w:line="440" w:lineRule="atLeast"/>
        <w:jc w:val="left"/>
        <w:rPr>
          <w:rFonts w:ascii="Arial" w:eastAsia="Calibri" w:hAnsi="Arial" w:cs="Arial"/>
          <w:sz w:val="22"/>
          <w:lang w:val="en-US"/>
        </w:rPr>
      </w:pPr>
      <w:r>
        <w:rPr>
          <w:rFonts w:ascii="Arial" w:eastAsia="Calibri" w:hAnsi="Arial" w:cs="Arial"/>
          <w:sz w:val="22"/>
          <w:lang w:val="en-US"/>
        </w:rPr>
        <w:br w:type="page"/>
      </w:r>
    </w:p>
    <w:p w:rsidR="00082A93" w:rsidRDefault="00082A93" w:rsidP="00375E81">
      <w:pPr>
        <w:jc w:val="left"/>
        <w:rPr>
          <w:rFonts w:ascii="Arial" w:eastAsia="Calibri" w:hAnsi="Arial" w:cs="Arial"/>
          <w:sz w:val="22"/>
          <w:lang w:val="en-US"/>
        </w:rPr>
      </w:pPr>
    </w:p>
    <w:p w:rsidR="00375E81" w:rsidRPr="00375E81" w:rsidRDefault="00375E81" w:rsidP="00375E81">
      <w:pPr>
        <w:jc w:val="left"/>
        <w:rPr>
          <w:rFonts w:ascii="Arial" w:eastAsia="Calibri" w:hAnsi="Arial" w:cs="Arial"/>
          <w:sz w:val="22"/>
          <w:lang w:val="en-US"/>
        </w:rPr>
      </w:pPr>
      <w:r w:rsidRPr="00375E81">
        <w:rPr>
          <w:rFonts w:ascii="Arial" w:eastAsia="Calibri" w:hAnsi="Arial" w:cs="Arial"/>
          <w:sz w:val="22"/>
          <w:lang w:val="en-US"/>
        </w:rPr>
        <w:t>The Employer Toolkit is one of many Australian Government initiatives to help support disability employment. Disability Employment Services (DES) has supported more than 808,000 jobseekers with disability in their search to find and keep a job. As of December 2018, there are around 213,000 people with disability participating in DES.</w:t>
      </w:r>
    </w:p>
    <w:p w:rsidR="0014133C" w:rsidRDefault="00375E81" w:rsidP="00375E81">
      <w:pPr>
        <w:jc w:val="left"/>
        <w:rPr>
          <w:rFonts w:ascii="Arial" w:eastAsia="Calibri" w:hAnsi="Arial" w:cs="Arial"/>
          <w:sz w:val="22"/>
          <w:lang w:val="en-US"/>
        </w:rPr>
      </w:pPr>
      <w:r w:rsidRPr="00375E81">
        <w:rPr>
          <w:rFonts w:ascii="Arial" w:eastAsia="Calibri" w:hAnsi="Arial" w:cs="Arial"/>
          <w:sz w:val="22"/>
          <w:lang w:val="en-US"/>
        </w:rPr>
        <w:t>The Employer Toolkit is available online through JobAccess, the Australian Government’s national hub for disability employment information and advice.</w:t>
      </w:r>
      <w:r>
        <w:rPr>
          <w:rFonts w:ascii="Arial" w:eastAsia="Calibri" w:hAnsi="Arial" w:cs="Arial"/>
          <w:sz w:val="22"/>
          <w:lang w:val="en-US"/>
        </w:rPr>
        <w:br/>
      </w:r>
      <w:r>
        <w:rPr>
          <w:rFonts w:ascii="Arial" w:eastAsia="Calibri" w:hAnsi="Arial" w:cs="Arial"/>
          <w:sz w:val="22"/>
          <w:lang w:val="en-US"/>
        </w:rPr>
        <w:br/>
      </w:r>
      <w:r w:rsidRPr="00375E81">
        <w:rPr>
          <w:rFonts w:ascii="Arial" w:eastAsia="Calibri" w:hAnsi="Arial" w:cs="Arial"/>
          <w:sz w:val="22"/>
          <w:lang w:val="en-US"/>
        </w:rPr>
        <w:t xml:space="preserve">Get started now </w:t>
      </w:r>
      <w:proofErr w:type="gramStart"/>
      <w:r w:rsidRPr="00375E81">
        <w:rPr>
          <w:rFonts w:ascii="Arial" w:eastAsia="Calibri" w:hAnsi="Arial" w:cs="Arial"/>
          <w:sz w:val="22"/>
          <w:lang w:val="en-US"/>
        </w:rPr>
        <w:t>at:</w:t>
      </w:r>
      <w:proofErr w:type="gramEnd"/>
      <w:r w:rsidRPr="00375E81">
        <w:rPr>
          <w:rFonts w:ascii="Arial" w:eastAsia="Calibri" w:hAnsi="Arial" w:cs="Arial"/>
          <w:sz w:val="22"/>
          <w:lang w:val="en-US"/>
        </w:rPr>
        <w:t xml:space="preserve"> </w:t>
      </w:r>
      <w:hyperlink r:id="rId8" w:history="1">
        <w:r w:rsidRPr="00DB1DBF">
          <w:rPr>
            <w:rStyle w:val="Hyperlink"/>
            <w:rFonts w:ascii="Arial" w:eastAsia="Calibri" w:hAnsi="Arial" w:cs="Arial"/>
            <w:sz w:val="22"/>
            <w:lang w:val="en-US"/>
          </w:rPr>
          <w:t>https://www.jobaccess.gov.au/employer-toolkit</w:t>
        </w:r>
      </w:hyperlink>
    </w:p>
    <w:p w:rsidR="00375E81" w:rsidRDefault="00375E81" w:rsidP="00375E81">
      <w:pPr>
        <w:rPr>
          <w:rFonts w:ascii="Arial" w:eastAsia="Calibri" w:hAnsi="Arial" w:cs="Arial"/>
          <w:sz w:val="22"/>
          <w:lang w:val="en-US"/>
        </w:rPr>
      </w:pPr>
    </w:p>
    <w:p w:rsidR="00A305F9" w:rsidRPr="00944A09" w:rsidRDefault="00A134E2" w:rsidP="00A134E2">
      <w:pPr>
        <w:rPr>
          <w:rFonts w:eastAsia="Calibri"/>
          <w:szCs w:val="24"/>
        </w:rPr>
      </w:pPr>
      <w:r>
        <w:rPr>
          <w:rFonts w:ascii="Arial" w:eastAsia="Calibri" w:hAnsi="Arial" w:cs="Arial"/>
          <w:b/>
          <w:bCs/>
          <w:sz w:val="22"/>
        </w:rPr>
        <w:t>ENDS</w:t>
      </w:r>
      <w:bookmarkStart w:id="0" w:name="_GoBack"/>
      <w:bookmarkEnd w:id="0"/>
    </w:p>
    <w:sectPr w:rsidR="00A305F9" w:rsidRPr="00944A09" w:rsidSect="00C26A92">
      <w:headerReference w:type="default" r:id="rId9"/>
      <w:footerReference w:type="default" r:id="rId10"/>
      <w:headerReference w:type="first" r:id="rId11"/>
      <w:type w:val="continuous"/>
      <w:pgSz w:w="11906" w:h="16838" w:code="9"/>
      <w:pgMar w:top="-2127" w:right="907" w:bottom="426" w:left="907" w:header="426"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19E" w:rsidRDefault="00F1519E" w:rsidP="00EF4574">
      <w:pPr>
        <w:spacing w:before="0" w:after="0" w:line="240" w:lineRule="auto"/>
      </w:pPr>
      <w:r>
        <w:separator/>
      </w:r>
    </w:p>
  </w:endnote>
  <w:endnote w:type="continuationSeparator" w:id="0">
    <w:p w:rsidR="00F1519E" w:rsidRDefault="00F1519E"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5F9" w:rsidRPr="00A305F9" w:rsidRDefault="00944A09" w:rsidP="00A305F9">
    <w:pPr>
      <w:spacing w:before="1320"/>
      <w:ind w:left="3362"/>
      <w:rPr>
        <w:color w:val="auto"/>
        <w:szCs w:val="24"/>
      </w:rPr>
    </w:pP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6432" behindDoc="0" locked="0" layoutInCell="1" allowOverlap="1" wp14:anchorId="2AB78806" wp14:editId="5DEA0686">
          <wp:simplePos x="0" y="0"/>
          <wp:positionH relativeFrom="margin">
            <wp:align>left</wp:align>
          </wp:positionH>
          <wp:positionV relativeFrom="paragraph">
            <wp:posOffset>781637</wp:posOffset>
          </wp:positionV>
          <wp:extent cx="1520489" cy="724319"/>
          <wp:effectExtent l="0" t="0" r="3810" b="0"/>
          <wp:wrapNone/>
          <wp:docPr id="24" name="Picture 2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0489" cy="724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03D">
      <w:rPr>
        <w:noProof/>
        <w:color w:val="auto"/>
        <w:szCs w:val="24"/>
        <w:lang w:eastAsia="en-AU"/>
      </w:rPr>
      <mc:AlternateContent>
        <mc:Choice Requires="wps">
          <w:drawing>
            <wp:anchor distT="45720" distB="45720" distL="114300" distR="114300" simplePos="0" relativeHeight="251660287" behindDoc="0" locked="0" layoutInCell="1" allowOverlap="1" wp14:anchorId="1D3F18A3" wp14:editId="18A0F76A">
              <wp:simplePos x="0" y="0"/>
              <wp:positionH relativeFrom="column">
                <wp:posOffset>69730</wp:posOffset>
              </wp:positionH>
              <wp:positionV relativeFrom="paragraph">
                <wp:posOffset>1313180</wp:posOffset>
              </wp:positionV>
              <wp:extent cx="1500505" cy="455930"/>
              <wp:effectExtent l="0" t="0" r="4445"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455930"/>
                      </a:xfrm>
                      <a:prstGeom prst="rect">
                        <a:avLst/>
                      </a:prstGeom>
                      <a:solidFill>
                        <a:srgbClr val="FFFFFF"/>
                      </a:solidFill>
                      <a:ln w="9525">
                        <a:noFill/>
                        <a:miter lim="800000"/>
                        <a:headEnd/>
                        <a:tailEnd/>
                      </a:ln>
                    </wps:spPr>
                    <wps:txbx>
                      <w:txbxContent>
                        <w:p w:rsidR="00944A09" w:rsidRPr="004E0409" w:rsidRDefault="00944A09" w:rsidP="00944A09">
                          <w:pPr>
                            <w:rPr>
                              <w:color w:val="262626" w:themeColor="text1" w:themeTint="D9"/>
                              <w:sz w:val="14"/>
                              <w:szCs w:val="20"/>
                            </w:rPr>
                          </w:pPr>
                          <w:r w:rsidRPr="004E0409">
                            <w:rPr>
                              <w:color w:val="262626" w:themeColor="text1" w:themeTint="D9"/>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F18A3" id="_x0000_t202" coordsize="21600,21600" o:spt="202" path="m,l,21600r21600,l21600,xe">
              <v:stroke joinstyle="miter"/>
              <v:path gradientshapeok="t" o:connecttype="rect"/>
            </v:shapetype>
            <v:shape id="Text Box 2" o:spid="_x0000_s1026" type="#_x0000_t202" style="position:absolute;left:0;text-align:left;margin-left:5.5pt;margin-top:103.4pt;width:118.15pt;height:35.9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" stroked="f">
              <v:textbox>
                <w:txbxContent>
                  <w:p w:rsidR="00944A09" w:rsidRPr="004E0409" w:rsidRDefault="00944A09" w:rsidP="00944A09">
                    <w:pPr>
                      <w:rPr>
                        <w:color w:val="262626" w:themeColor="text1" w:themeTint="D9"/>
                        <w:sz w:val="14"/>
                        <w:szCs w:val="20"/>
                      </w:rPr>
                    </w:pPr>
                    <w:r w:rsidRPr="004E0409">
                      <w:rPr>
                        <w:color w:val="262626" w:themeColor="text1" w:themeTint="D9"/>
                        <w:sz w:val="14"/>
                        <w:szCs w:val="20"/>
                      </w:rPr>
                      <w:t>Australian Government Crest</w:t>
                    </w:r>
                  </w:p>
                </w:txbxContent>
              </v:textbox>
              <w10:wrap type="square"/>
            </v:shape>
          </w:pict>
        </mc:Fallback>
      </mc:AlternateContent>
    </w:r>
    <w:r w:rsidR="00A305F9">
      <w:rPr>
        <w:noProof/>
        <w:lang w:eastAsia="en-AU"/>
      </w:rPr>
      <mc:AlternateContent>
        <mc:Choice Requires="wps">
          <w:drawing>
            <wp:anchor distT="0" distB="0" distL="114300" distR="114300" simplePos="0" relativeHeight="251661312" behindDoc="0" locked="0" layoutInCell="1" allowOverlap="1" wp14:anchorId="631AD20E" wp14:editId="16F94851">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705E5D" id="Straight Connector 3" o:spid="_x0000_s1026" alt="Title: background graphic line - Description: background graphic line"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" strokecolor="#7e0e67 [3044]" strokeweight="4pt">
              <w10:wrap anchorx="margin" anchory="page"/>
            </v:line>
          </w:pict>
        </mc:Fallback>
      </mc:AlternateContent>
    </w:r>
    <w:r w:rsidR="00A305F9" w:rsidRPr="00A305F9">
      <w:rPr>
        <w:color w:val="auto"/>
        <w:szCs w:val="24"/>
      </w:rPr>
      <w:t>JobAccess is the national hub for workplace and employment information for people with disability, employers and service providers.</w:t>
    </w:r>
  </w:p>
  <w:p w:rsidR="00B96DCB" w:rsidRPr="00A305F9" w:rsidRDefault="00A305F9" w:rsidP="00A305F9">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19E" w:rsidRDefault="00F1519E" w:rsidP="00EF4574">
      <w:pPr>
        <w:spacing w:before="0" w:after="0" w:line="240" w:lineRule="auto"/>
      </w:pPr>
      <w:r>
        <w:separator/>
      </w:r>
    </w:p>
  </w:footnote>
  <w:footnote w:type="continuationSeparator" w:id="0">
    <w:p w:rsidR="00F1519E" w:rsidRDefault="00F1519E" w:rsidP="00EF457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B4E" w:rsidRDefault="00D32B4E">
    <w:pPr>
      <w:pStyle w:val="Header"/>
    </w:pPr>
    <w:r>
      <w:rPr>
        <w:noProof/>
        <w:lang w:eastAsia="en-AU"/>
      </w:rPr>
      <w:drawing>
        <wp:inline distT="0" distB="0" distL="0" distR="0" wp14:anchorId="6BC4D811" wp14:editId="79A1EE1F">
          <wp:extent cx="1725283" cy="576575"/>
          <wp:effectExtent l="0" t="0" r="0" b="0"/>
          <wp:docPr id="23" name="Picture 23"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157" cy="582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9" w:rsidRDefault="005174E8" w:rsidP="006B22E4">
    <w:pPr>
      <w:pStyle w:val="Header"/>
      <w:tabs>
        <w:tab w:val="clear" w:pos="4513"/>
        <w:tab w:val="clear" w:pos="9026"/>
        <w:tab w:val="right" w:pos="10065"/>
      </w:tabs>
    </w:pPr>
    <w:r>
      <w:rPr>
        <w:noProof/>
        <w:lang w:eastAsia="en-AU"/>
      </w:rPr>
      <w:drawing>
        <wp:inline distT="0" distB="0" distL="0" distR="0" wp14:anchorId="2BEE6BF5" wp14:editId="74B05CF5">
          <wp:extent cx="2968467" cy="992037"/>
          <wp:effectExtent l="0" t="0" r="3810" b="0"/>
          <wp:docPr id="25" name="Picture 25"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831" cy="10028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456"/>
    <w:rsid w:val="00010EB8"/>
    <w:rsid w:val="00012A6F"/>
    <w:rsid w:val="0002782F"/>
    <w:rsid w:val="00037C9E"/>
    <w:rsid w:val="00054E4D"/>
    <w:rsid w:val="00060073"/>
    <w:rsid w:val="000705F9"/>
    <w:rsid w:val="00082A93"/>
    <w:rsid w:val="0011342E"/>
    <w:rsid w:val="00130D0E"/>
    <w:rsid w:val="0014133C"/>
    <w:rsid w:val="001541EA"/>
    <w:rsid w:val="00196460"/>
    <w:rsid w:val="001A7DDE"/>
    <w:rsid w:val="001B4634"/>
    <w:rsid w:val="001C5479"/>
    <w:rsid w:val="001C5B63"/>
    <w:rsid w:val="001E1DC0"/>
    <w:rsid w:val="001E66BA"/>
    <w:rsid w:val="00240254"/>
    <w:rsid w:val="002453AF"/>
    <w:rsid w:val="00247087"/>
    <w:rsid w:val="00265FDB"/>
    <w:rsid w:val="00283D44"/>
    <w:rsid w:val="0028602A"/>
    <w:rsid w:val="002C2585"/>
    <w:rsid w:val="002D50EF"/>
    <w:rsid w:val="00301144"/>
    <w:rsid w:val="00307AE6"/>
    <w:rsid w:val="00311F47"/>
    <w:rsid w:val="003148B7"/>
    <w:rsid w:val="003158C3"/>
    <w:rsid w:val="003274CD"/>
    <w:rsid w:val="00347ED4"/>
    <w:rsid w:val="0035119D"/>
    <w:rsid w:val="00375E81"/>
    <w:rsid w:val="003809F7"/>
    <w:rsid w:val="003959FC"/>
    <w:rsid w:val="003A3376"/>
    <w:rsid w:val="003B3FA3"/>
    <w:rsid w:val="003B4F12"/>
    <w:rsid w:val="003D4189"/>
    <w:rsid w:val="00423F31"/>
    <w:rsid w:val="0042695C"/>
    <w:rsid w:val="00431899"/>
    <w:rsid w:val="0043742F"/>
    <w:rsid w:val="00486804"/>
    <w:rsid w:val="00486D22"/>
    <w:rsid w:val="004A02FD"/>
    <w:rsid w:val="004B3775"/>
    <w:rsid w:val="004E0409"/>
    <w:rsid w:val="004E058F"/>
    <w:rsid w:val="004E3B87"/>
    <w:rsid w:val="004F6710"/>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532CB"/>
    <w:rsid w:val="0066652A"/>
    <w:rsid w:val="0067753B"/>
    <w:rsid w:val="0068036A"/>
    <w:rsid w:val="00682167"/>
    <w:rsid w:val="006B22E4"/>
    <w:rsid w:val="006C42AF"/>
    <w:rsid w:val="00711D8E"/>
    <w:rsid w:val="00712672"/>
    <w:rsid w:val="00734E3F"/>
    <w:rsid w:val="00736985"/>
    <w:rsid w:val="007B6200"/>
    <w:rsid w:val="007B6F69"/>
    <w:rsid w:val="007B6FA4"/>
    <w:rsid w:val="00801B9F"/>
    <w:rsid w:val="00894A5F"/>
    <w:rsid w:val="008A730F"/>
    <w:rsid w:val="008F0F3A"/>
    <w:rsid w:val="00934562"/>
    <w:rsid w:val="00944A09"/>
    <w:rsid w:val="009545B5"/>
    <w:rsid w:val="009705B0"/>
    <w:rsid w:val="009A4B7C"/>
    <w:rsid w:val="009B4D3B"/>
    <w:rsid w:val="009D7407"/>
    <w:rsid w:val="009E0866"/>
    <w:rsid w:val="00A134E2"/>
    <w:rsid w:val="00A24A62"/>
    <w:rsid w:val="00A305F9"/>
    <w:rsid w:val="00A31C9F"/>
    <w:rsid w:val="00A55104"/>
    <w:rsid w:val="00A749C1"/>
    <w:rsid w:val="00AC164A"/>
    <w:rsid w:val="00AE4D34"/>
    <w:rsid w:val="00AF1058"/>
    <w:rsid w:val="00AF2050"/>
    <w:rsid w:val="00B13E92"/>
    <w:rsid w:val="00B20AC7"/>
    <w:rsid w:val="00B62B1D"/>
    <w:rsid w:val="00B66B14"/>
    <w:rsid w:val="00B96DCB"/>
    <w:rsid w:val="00BB26C5"/>
    <w:rsid w:val="00BC3098"/>
    <w:rsid w:val="00BF4DE6"/>
    <w:rsid w:val="00C26A92"/>
    <w:rsid w:val="00C42CDE"/>
    <w:rsid w:val="00CA37B1"/>
    <w:rsid w:val="00CB1959"/>
    <w:rsid w:val="00CD5CE5"/>
    <w:rsid w:val="00D0296C"/>
    <w:rsid w:val="00D05305"/>
    <w:rsid w:val="00D32B4E"/>
    <w:rsid w:val="00D34C91"/>
    <w:rsid w:val="00D93AC4"/>
    <w:rsid w:val="00D948FE"/>
    <w:rsid w:val="00DB62EE"/>
    <w:rsid w:val="00E302E6"/>
    <w:rsid w:val="00E3059B"/>
    <w:rsid w:val="00E357B7"/>
    <w:rsid w:val="00E53800"/>
    <w:rsid w:val="00E6081F"/>
    <w:rsid w:val="00E67F4B"/>
    <w:rsid w:val="00EA04B2"/>
    <w:rsid w:val="00EA20F3"/>
    <w:rsid w:val="00EC15AE"/>
    <w:rsid w:val="00ED43D1"/>
    <w:rsid w:val="00EE4EE1"/>
    <w:rsid w:val="00EF4574"/>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044D843"/>
  <w15:docId w15:val="{06AEE338-9A7F-4258-8D63-4FDE535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B"/>
    <w:pPr>
      <w:suppressAutoHyphens/>
      <w:spacing w:before="180" w:after="80" w:line="280" w:lineRule="exact"/>
      <w:jc w:val="both"/>
    </w:pPr>
    <w:rPr>
      <w:color w:val="850F6D"/>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access.gov.au/employer-toolk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601A-4125-416D-AE4A-3EEA4E80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WHITER, Shaun</cp:lastModifiedBy>
  <cp:revision>3</cp:revision>
  <cp:lastPrinted>2019-02-26T00:51:00Z</cp:lastPrinted>
  <dcterms:created xsi:type="dcterms:W3CDTF">2019-02-26T00:51:00Z</dcterms:created>
  <dcterms:modified xsi:type="dcterms:W3CDTF">2019-02-26T00:56:00Z</dcterms:modified>
</cp:coreProperties>
</file>