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3C" w:rsidRPr="00DB14BD" w:rsidRDefault="006A693C" w:rsidP="006A693C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44"/>
          <w:szCs w:val="44"/>
          <w:lang w:val="fr-FR"/>
        </w:rPr>
      </w:pPr>
      <w:r w:rsidRPr="00DB14BD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t>NOTE D’INFORMATION</w:t>
      </w:r>
      <w:r w:rsidRPr="00DB14BD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br/>
        <w:t>LISTE DE CONTRÔLE CONCERNANT L’ACCESSIBILITÉ POUR EMPLOYEURS</w:t>
      </w:r>
    </w:p>
    <w:p w:rsidR="006A693C" w:rsidRPr="00DB14BD" w:rsidRDefault="006A693C" w:rsidP="006A693C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Cette liste de contrôle peut vous donner des idées sur la manière dont vous pourriez améliorer la flexibilité du travail et l’accessibilité à l’espace de travail au sein de votre organisation.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Pour commencer, vous pourriez envisager de mettre en œuvre au moins l’un des programmes ou politiques qui suivent :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Égalité des chances dans l’emploi et ou programme </w:t>
      </w:r>
      <w:proofErr w:type="spellStart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diversité</w:t>
      </w:r>
      <w:r w:rsidR="00DB14BD"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a</w:t>
      </w:r>
      <w:proofErr w:type="spellEnd"/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Aménagement raisonnable / modalités de travail flexibles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Plan d’action accessibilité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Diversité et publication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Politique de retour à l’emploi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Programmes de formation de sensibilisation au handicap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</w:t>
      </w:r>
      <w:proofErr w:type="spellStart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Executive</w:t>
      </w:r>
      <w:proofErr w:type="spellEnd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</w:t>
      </w:r>
      <w:proofErr w:type="spellStart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disability</w:t>
      </w:r>
      <w:proofErr w:type="spellEnd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champions</w:t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(Cadres défenseurs du handicap)</w:t>
      </w:r>
    </w:p>
    <w:p w:rsidR="006A693C" w:rsidRPr="00DB14BD" w:rsidRDefault="006A693C" w:rsidP="006A693C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Mentorat handicap</w:t>
      </w:r>
    </w:p>
    <w:p w:rsidR="006A693C" w:rsidRPr="00DB14BD" w:rsidRDefault="006A693C" w:rsidP="006A693C">
      <w:pPr>
        <w:suppressAutoHyphens w:val="0"/>
        <w:spacing w:before="0" w:after="120" w:line="36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Réseaux d’employés en situation de handicap</w:t>
      </w:r>
    </w:p>
    <w:p w:rsidR="006A693C" w:rsidRPr="00DB14BD" w:rsidRDefault="006A693C" w:rsidP="006A693C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Vous pouvez également prendre en compte les idées suivantes qui peuvent contribuer à faire de votre organisation un lieu de travail plus accessible et un employeur de choix pour les personnes en situation de handicap ;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Comment la publication des offres d’emploi et des descriptions de postes est-elle structurée par votre organisation ? – est-ce qu’elles encouragent les personnes en situation de handicap à déposer leur candidature ? </w:t>
      </w:r>
      <w:proofErr w:type="gramStart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et</w:t>
      </w:r>
      <w:proofErr w:type="gramEnd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est-ce que l’offre d’emploi est accessible dans des médias en ligne et dans la presse écrite (par exemple en braille ou en gros caractères) ?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Pour élargir la recherche de candidats par votre organisation, distribuez les offres d’emploi à des organismes œuvrant pour les personnes en situation de handicap ou à des prestataires agréés </w:t>
      </w:r>
      <w:proofErr w:type="spellStart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Disability</w:t>
      </w:r>
      <w:proofErr w:type="spellEnd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</w:t>
      </w:r>
      <w:proofErr w:type="spellStart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Employment</w:t>
      </w:r>
      <w:proofErr w:type="spellEnd"/>
      <w:r w:rsidRPr="00DB14BD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Services</w:t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(Services pour l’emploi des personnes en situation de handicap).</w:t>
      </w:r>
      <w:r w:rsidR="00CF6B0B"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="00CF6B0B"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="00CF6B0B"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lastRenderedPageBreak/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Donnez une expérience professionnell</w:t>
      </w:r>
      <w:bookmarkStart w:id="0" w:name="_GoBack"/>
      <w:bookmarkEnd w:id="0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e ou proposez des périodes de formation ou de l’apprentissage à des personnes en situation de handicap pour leur permettre d’améliorer leurs connaissances et leurs compétences, et pour leur donner accès à l’emploi de manière continue.</w:t>
      </w:r>
      <w:r w:rsidR="00CF6B0B"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Modifiez le cadre de l’entretien pour y intégrer des aménagements raisonnables – comme l’accès aux locaux, l’accès à une personne de confiance ou à un porte-parole, ou la présence d’un interprète </w:t>
      </w:r>
      <w:proofErr w:type="spellStart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Auslan</w:t>
      </w:r>
      <w:proofErr w:type="spellEnd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.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Révisez le style, le comportement et les techniques des questions d’entretien et des tâches d’évaluation pour vous assurer qu’ils accordent une place aux personnes en situation de handicap. 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Une fois qu’un poste est proposé à une personne en situation de handicap, faites de la discussion d’aménagements raisonnables une pratique standard.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Fournissez des supports de formation dans des formats accessibles – par exemple des vidéos sous-titrées, des textes en anglais clair, des systèmes informatiques internes compatibles avec les programmes de lecture d’écran et autres technologies d’assistance.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Organisez l’acquisition et la mise en œuvre d’adaptations du lieu de travail, d’aides ou de technologies d’assistance.</w:t>
      </w: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</w:p>
    <w:p w:rsidR="006A693C" w:rsidRPr="00DB14BD" w:rsidRDefault="006A693C" w:rsidP="006A693C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Mettez en service une procédure d’évacuation d’urgence qui tient compte des besoins des personnes en situation de handicap.</w:t>
      </w:r>
    </w:p>
    <w:p w:rsidR="006A693C" w:rsidRPr="00DB14BD" w:rsidRDefault="006A693C" w:rsidP="006A693C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</w:p>
    <w:p w:rsidR="006A693C" w:rsidRPr="00DB14BD" w:rsidRDefault="006A693C" w:rsidP="006A693C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sym w:font="Wingdings" w:char="F071"/>
      </w:r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proofErr w:type="gramStart"/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t>Vérifiez</w:t>
      </w:r>
      <w:proofErr w:type="spellEnd"/>
      <w:r w:rsidRPr="00DB14BD">
        <w:rPr>
          <w:rFonts w:ascii="Century Gothic" w:eastAsia="Calibri" w:hAnsi="Century Gothic" w:cs="Arial"/>
          <w:color w:val="781E65"/>
          <w:sz w:val="20"/>
          <w:szCs w:val="20"/>
        </w:rPr>
        <w:t> :</w:t>
      </w:r>
      <w:proofErr w:type="gramEnd"/>
    </w:p>
    <w:p w:rsidR="006A693C" w:rsidRPr="00DB14BD" w:rsidRDefault="006A693C" w:rsidP="006A693C">
      <w:pPr>
        <w:numPr>
          <w:ilvl w:val="0"/>
          <w:numId w:val="13"/>
        </w:numPr>
        <w:suppressAutoHyphens w:val="0"/>
        <w:spacing w:before="0" w:after="0" w:line="276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que le parking, l’entrée et la réception sont facilement accessibles et exempts de dangers pour les personnes en situation de handicap ;</w:t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6A693C" w:rsidRPr="00DB14BD" w:rsidRDefault="006A693C" w:rsidP="006A693C">
      <w:pPr>
        <w:numPr>
          <w:ilvl w:val="0"/>
          <w:numId w:val="13"/>
        </w:numPr>
        <w:suppressAutoHyphens w:val="0"/>
        <w:spacing w:before="0" w:after="0" w:line="24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que les revêtements de sol sont antidérapants, fermes et lisses pour les personnes utilisant un fauteuil roulant ou un déambulateur ;</w:t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6A693C" w:rsidRPr="00DB14BD" w:rsidRDefault="006A693C" w:rsidP="006A693C">
      <w:pPr>
        <w:numPr>
          <w:ilvl w:val="0"/>
          <w:numId w:val="13"/>
        </w:numPr>
        <w:suppressAutoHyphens w:val="0"/>
        <w:spacing w:before="0" w:after="0" w:line="24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que les salles de réunion et les espaces de discussion prévoient suffisamment d’espace pour que les personnes en fauteuil roulant puissent se déplacer sans barrières ni restrictions ; et</w:t>
      </w: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6A693C" w:rsidRPr="00DB14BD" w:rsidRDefault="006A693C" w:rsidP="006A693C">
      <w:pPr>
        <w:numPr>
          <w:ilvl w:val="0"/>
          <w:numId w:val="13"/>
        </w:numPr>
        <w:suppressAutoHyphens w:val="0"/>
        <w:spacing w:before="0" w:after="0" w:line="24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que les portes peuvent s’ouvrir facilement et de manière autonome par tous les utilisateurs – qu’elles ne sont pas lourdes ou difficiles à ouvrir par exemple et que les poignées se trouvent à une hauteur facilement accessible.</w:t>
      </w:r>
    </w:p>
    <w:p w:rsidR="006A693C" w:rsidRPr="00DB14BD" w:rsidRDefault="006A693C" w:rsidP="006A693C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</w:p>
    <w:p w:rsidR="006A693C" w:rsidRPr="00DB14BD" w:rsidRDefault="006A693C" w:rsidP="006A693C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peut aider votre organisation à améliorer la flexibilité et l’accessibilité de son espace de travail. Pour en savoir plus, consultez www.jobaccess.gov.au ou appelez un conseiller </w:t>
      </w:r>
      <w:proofErr w:type="spellStart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B14BD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au 1800 464 800 – les appels à partir de téléphones portables sont facturés.</w:t>
      </w:r>
      <w:hyperlink r:id="rId8" w:history="1"/>
    </w:p>
    <w:p w:rsidR="008A730F" w:rsidRPr="00DB14BD" w:rsidRDefault="008A730F" w:rsidP="006A693C">
      <w:pPr>
        <w:rPr>
          <w:color w:val="781E65"/>
        </w:rPr>
      </w:pPr>
    </w:p>
    <w:sectPr w:rsidR="008A730F" w:rsidRPr="00DB14BD" w:rsidSect="00DA1C4A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B3" w:rsidRDefault="004765B3" w:rsidP="00EF4574">
      <w:pPr>
        <w:spacing w:before="0" w:after="0" w:line="240" w:lineRule="auto"/>
      </w:pPr>
      <w:r>
        <w:separator/>
      </w:r>
    </w:p>
  </w:endnote>
  <w:endnote w:type="continuationSeparator" w:id="0">
    <w:p w:rsidR="004765B3" w:rsidRDefault="004765B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4A" w:rsidRPr="00DB14BD" w:rsidRDefault="00DA1C4A" w:rsidP="00FC505F">
    <w:pPr>
      <w:spacing w:before="360"/>
      <w:ind w:left="84"/>
      <w:rPr>
        <w:rStyle w:val="Emphasis"/>
        <w:color w:val="781E65"/>
      </w:rPr>
    </w:pPr>
    <w:r w:rsidRPr="00DB14BD">
      <w:rPr>
        <w:color w:val="781E65"/>
      </w:rPr>
      <w:ptab w:relativeTo="margin" w:alignment="left" w:leader="none"/>
    </w:r>
    <w:r w:rsidR="006A693C" w:rsidRPr="00DB14BD">
      <w:rPr>
        <w:rStyle w:val="Emphasis"/>
        <w:color w:val="781E65"/>
      </w:rPr>
      <w:t>Accessibility checklist for employers</w:t>
    </w:r>
    <w:r w:rsidR="004D42F7" w:rsidRPr="00DB14BD">
      <w:rPr>
        <w:rStyle w:val="Emphasis"/>
        <w:color w:val="781E65"/>
      </w:rPr>
      <w:t xml:space="preserve"> V.1.0</w:t>
    </w:r>
    <w:r w:rsidR="004D42F7" w:rsidRPr="00DB14BD">
      <w:rPr>
        <w:rStyle w:val="Emphasis"/>
        <w:color w:val="781E65"/>
      </w:rPr>
      <w:tab/>
    </w:r>
    <w:r w:rsidR="004D42F7" w:rsidRPr="00DB14BD">
      <w:rPr>
        <w:rStyle w:val="Emphasis"/>
        <w:color w:val="781E65"/>
      </w:rPr>
      <w:tab/>
    </w:r>
    <w:r w:rsidR="004D42F7" w:rsidRPr="00DB14BD">
      <w:rPr>
        <w:rStyle w:val="Emphasis"/>
        <w:color w:val="781E65"/>
      </w:rPr>
      <w:tab/>
      <w:t xml:space="preserve">         </w:t>
    </w:r>
    <w:r w:rsidR="00FC505F" w:rsidRPr="00DB14BD">
      <w:rPr>
        <w:rStyle w:val="Emphasis"/>
        <w:color w:val="781E65"/>
      </w:rPr>
      <w:t xml:space="preserve"> </w:t>
    </w:r>
    <w:r w:rsidR="004D42F7" w:rsidRPr="00DB14BD">
      <w:rPr>
        <w:rStyle w:val="Emphasis"/>
        <w:color w:val="781E65"/>
      </w:rPr>
      <w:tab/>
    </w:r>
    <w:r w:rsidR="00B252B5" w:rsidRPr="00DB14BD">
      <w:rPr>
        <w:rStyle w:val="Emphasis"/>
        <w:color w:val="781E65"/>
      </w:rPr>
      <w:t xml:space="preserve">    </w:t>
    </w:r>
    <w:r w:rsidR="004D42F7" w:rsidRPr="00DB14BD">
      <w:rPr>
        <w:rStyle w:val="Emphasis"/>
        <w:b/>
        <w:bCs/>
        <w:i w:val="0"/>
        <w:iCs w:val="0"/>
        <w:color w:val="781E65"/>
      </w:rPr>
      <w:t>1892.06.16T - FRENCH</w:t>
    </w:r>
  </w:p>
  <w:p w:rsidR="00B96DCB" w:rsidRPr="00DB14BD" w:rsidRDefault="004765B3" w:rsidP="00AC0366">
    <w:pPr>
      <w:pStyle w:val="Footer"/>
      <w:rPr>
        <w:color w:val="781E65"/>
      </w:rPr>
    </w:pPr>
    <w:r w:rsidRPr="00DB14BD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DB14BD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F6B0B">
      <w:rPr>
        <w:sz w:val="28"/>
        <w:szCs w:val="28"/>
      </w:rPr>
      <w:t>.</w:t>
    </w:r>
  </w:p>
  <w:p w:rsidR="003959FC" w:rsidRPr="00DB14B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B14BD">
      <w:rPr>
        <w:color w:val="781E65"/>
      </w:rPr>
      <w:t>1800 464 800</w:t>
    </w:r>
    <w:r w:rsidRPr="00DB14BD">
      <w:rPr>
        <w:color w:val="781E65"/>
      </w:rPr>
      <w:tab/>
    </w:r>
    <w:r w:rsidRPr="00DB14BD">
      <w:rPr>
        <w:color w:val="781E65"/>
      </w:rPr>
      <w:tab/>
      <w:t>www.jobaccess.gov.au</w:t>
    </w:r>
  </w:p>
  <w:p w:rsidR="003959FC" w:rsidRPr="00DB14BD" w:rsidRDefault="00DA1C4A" w:rsidP="00FC505F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DB14BD">
      <w:rPr>
        <w:rStyle w:val="Emphasis"/>
        <w:color w:val="781E65"/>
      </w:rPr>
      <w:t>Accessibility checklist for employers</w:t>
    </w:r>
    <w:r w:rsidR="006A693C" w:rsidRPr="00DB14BD">
      <w:rPr>
        <w:rStyle w:val="Emphasis"/>
        <w:color w:val="781E65"/>
      </w:rPr>
      <w:t xml:space="preserve"> V.1.0</w:t>
    </w:r>
    <w:r w:rsidRPr="00DB14BD">
      <w:rPr>
        <w:rStyle w:val="Emphasis"/>
        <w:color w:val="781E65"/>
      </w:rPr>
      <w:t xml:space="preserve"> </w:t>
    </w:r>
    <w:r w:rsidR="00C74E57" w:rsidRPr="00DB14BD">
      <w:rPr>
        <w:rStyle w:val="Emphasis"/>
        <w:color w:val="781E65"/>
      </w:rPr>
      <w:tab/>
    </w:r>
    <w:r w:rsidR="00C74E57" w:rsidRPr="00DB14BD">
      <w:rPr>
        <w:rStyle w:val="Emphasis"/>
        <w:color w:val="781E65"/>
      </w:rPr>
      <w:tab/>
    </w:r>
    <w:r w:rsidR="00C74E57" w:rsidRPr="00DB14BD">
      <w:rPr>
        <w:rStyle w:val="Emphasis"/>
        <w:color w:val="781E65"/>
      </w:rPr>
      <w:tab/>
      <w:t xml:space="preserve">          </w:t>
    </w:r>
    <w:r w:rsidR="00FC505F" w:rsidRPr="00DB14BD">
      <w:rPr>
        <w:rStyle w:val="Emphasis"/>
        <w:color w:val="781E65"/>
      </w:rPr>
      <w:t xml:space="preserve">    </w:t>
    </w:r>
    <w:r w:rsidRPr="00DB14BD">
      <w:rPr>
        <w:rStyle w:val="Emphasis"/>
        <w:b/>
        <w:bCs/>
        <w:i w:val="0"/>
        <w:iCs w:val="0"/>
        <w:color w:val="781E65"/>
      </w:rPr>
      <w:t>1892.06.16T</w:t>
    </w:r>
    <w:r w:rsidR="00C74E57" w:rsidRPr="00DB14BD">
      <w:rPr>
        <w:rStyle w:val="Emphasis"/>
        <w:b/>
        <w:bCs/>
        <w:i w:val="0"/>
        <w:iCs w:val="0"/>
        <w:color w:val="781E65"/>
      </w:rPr>
      <w:t xml:space="preserve"> - FRENCH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B3" w:rsidRDefault="004765B3" w:rsidP="00EF4574">
      <w:pPr>
        <w:spacing w:before="0" w:after="0" w:line="240" w:lineRule="auto"/>
      </w:pPr>
      <w:r>
        <w:separator/>
      </w:r>
    </w:p>
  </w:footnote>
  <w:footnote w:type="continuationSeparator" w:id="0">
    <w:p w:rsidR="004765B3" w:rsidRDefault="004765B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5B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1D61C1"/>
    <w:multiLevelType w:val="hybridMultilevel"/>
    <w:tmpl w:val="F15AB44A"/>
    <w:lvl w:ilvl="0" w:tplc="97CA867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1F2AC0"/>
    <w:multiLevelType w:val="hybridMultilevel"/>
    <w:tmpl w:val="9046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C0EFB"/>
    <w:rsid w:val="0011342E"/>
    <w:rsid w:val="001541EA"/>
    <w:rsid w:val="00181F8F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3F0D"/>
    <w:rsid w:val="00347ED4"/>
    <w:rsid w:val="0035119D"/>
    <w:rsid w:val="003809F7"/>
    <w:rsid w:val="003959FC"/>
    <w:rsid w:val="003A3376"/>
    <w:rsid w:val="003B3FA3"/>
    <w:rsid w:val="003B4F12"/>
    <w:rsid w:val="003C2E30"/>
    <w:rsid w:val="00423F31"/>
    <w:rsid w:val="0042695C"/>
    <w:rsid w:val="00431899"/>
    <w:rsid w:val="004765B3"/>
    <w:rsid w:val="00486804"/>
    <w:rsid w:val="00486D22"/>
    <w:rsid w:val="004A02FD"/>
    <w:rsid w:val="004B3775"/>
    <w:rsid w:val="004C6D88"/>
    <w:rsid w:val="004D42F7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A693C"/>
    <w:rsid w:val="006B22E4"/>
    <w:rsid w:val="006C42AF"/>
    <w:rsid w:val="00711D8E"/>
    <w:rsid w:val="00712672"/>
    <w:rsid w:val="00734E3F"/>
    <w:rsid w:val="00736985"/>
    <w:rsid w:val="00742834"/>
    <w:rsid w:val="007A1CE9"/>
    <w:rsid w:val="007B6200"/>
    <w:rsid w:val="007B6F69"/>
    <w:rsid w:val="007B6FA4"/>
    <w:rsid w:val="00801B9F"/>
    <w:rsid w:val="00894A5F"/>
    <w:rsid w:val="008A730F"/>
    <w:rsid w:val="008B0E92"/>
    <w:rsid w:val="009545B5"/>
    <w:rsid w:val="009A4B7C"/>
    <w:rsid w:val="009B4D3B"/>
    <w:rsid w:val="009D7407"/>
    <w:rsid w:val="009E0866"/>
    <w:rsid w:val="00A24A62"/>
    <w:rsid w:val="00A31C9F"/>
    <w:rsid w:val="00A36715"/>
    <w:rsid w:val="00A55104"/>
    <w:rsid w:val="00AC0366"/>
    <w:rsid w:val="00AC164A"/>
    <w:rsid w:val="00AF1058"/>
    <w:rsid w:val="00AF2050"/>
    <w:rsid w:val="00B252B5"/>
    <w:rsid w:val="00B66B14"/>
    <w:rsid w:val="00B96DCB"/>
    <w:rsid w:val="00BB26C5"/>
    <w:rsid w:val="00BC3098"/>
    <w:rsid w:val="00BF4DE6"/>
    <w:rsid w:val="00C42CDE"/>
    <w:rsid w:val="00C42D4A"/>
    <w:rsid w:val="00C74E57"/>
    <w:rsid w:val="00CA37B1"/>
    <w:rsid w:val="00CB1959"/>
    <w:rsid w:val="00CD5CE5"/>
    <w:rsid w:val="00CF6B0B"/>
    <w:rsid w:val="00D0296C"/>
    <w:rsid w:val="00D42F36"/>
    <w:rsid w:val="00D93AC4"/>
    <w:rsid w:val="00D948FE"/>
    <w:rsid w:val="00DA1C4A"/>
    <w:rsid w:val="00DB14BD"/>
    <w:rsid w:val="00DB62EE"/>
    <w:rsid w:val="00E357B7"/>
    <w:rsid w:val="00E35D85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043C6"/>
    <w:rsid w:val="00F1519E"/>
    <w:rsid w:val="00F2684E"/>
    <w:rsid w:val="00F729EF"/>
    <w:rsid w:val="00F77CAE"/>
    <w:rsid w:val="00F956C0"/>
    <w:rsid w:val="00F96BB9"/>
    <w:rsid w:val="00FB2277"/>
    <w:rsid w:val="00FC505F"/>
    <w:rsid w:val="00FE6D51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1411D2D-8660-464B-951B-2ED69B42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742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BCE3-79B1-484D-B06F-6B46FFE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12</cp:revision>
  <cp:lastPrinted>2016-07-19T04:03:00Z</cp:lastPrinted>
  <dcterms:created xsi:type="dcterms:W3CDTF">2016-07-15T10:52:00Z</dcterms:created>
  <dcterms:modified xsi:type="dcterms:W3CDTF">2016-07-20T09:59:00Z</dcterms:modified>
</cp:coreProperties>
</file>