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D6" w:rsidRPr="00E448F5" w:rsidRDefault="00130CD6" w:rsidP="00130CD6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 w:val="56"/>
          <w:szCs w:val="56"/>
        </w:rPr>
      </w:pPr>
      <w:r w:rsidRPr="00E448F5">
        <w:rPr>
          <w:rFonts w:ascii="Arial" w:eastAsia="Calibri" w:hAnsi="Arial" w:cs="Arial"/>
          <w:b/>
          <w:color w:val="781E65"/>
          <w:sz w:val="56"/>
          <w:szCs w:val="56"/>
          <w:lang w:val="hr-HR"/>
        </w:rPr>
        <w:t>INFORMATIVNI LIST</w:t>
      </w:r>
      <w:r w:rsidRPr="00E448F5">
        <w:rPr>
          <w:rFonts w:ascii="Arial" w:eastAsia="Calibri" w:hAnsi="Arial" w:cs="Arial"/>
          <w:b/>
          <w:color w:val="781E65"/>
          <w:sz w:val="56"/>
          <w:szCs w:val="56"/>
          <w:lang w:val="hr-HR"/>
        </w:rPr>
        <w:br/>
        <w:t>JESTE</w:t>
      </w:r>
      <w:r w:rsidRPr="00E448F5">
        <w:rPr>
          <w:rFonts w:ascii="Arial" w:eastAsia="Calibri" w:hAnsi="Arial" w:cs="Arial"/>
          <w:b/>
          <w:caps/>
          <w:smallCaps/>
          <w:color w:val="781E65"/>
          <w:sz w:val="56"/>
          <w:szCs w:val="56"/>
          <w:lang w:val="hr-HR"/>
        </w:rPr>
        <w:t xml:space="preserve"> LI POSLODAVAC KOJI ŽELI ZAPOSLITI MLADU OSOBU?</w:t>
      </w:r>
    </w:p>
    <w:p w:rsidR="00130CD6" w:rsidRPr="00E448F5" w:rsidRDefault="00130CD6" w:rsidP="00130CD6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</w:rPr>
      </w:pPr>
      <w:r w:rsidRPr="00E448F5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Prava osoba za vašu organizaciju može biti mlada osoba s invaliditetom. Postoje besplatne usluge australske vlade koje vam mogu pomoći u pronalaženju i zadržavanju mladog radnika s invaliditetom. </w:t>
      </w:r>
    </w:p>
    <w:p w:rsidR="00130CD6" w:rsidRPr="00E448F5" w:rsidRDefault="00130CD6" w:rsidP="00130CD6">
      <w:pPr>
        <w:suppressAutoHyphens w:val="0"/>
        <w:spacing w:before="0" w:after="0" w:line="240" w:lineRule="auto"/>
        <w:rPr>
          <w:rFonts w:ascii="Century Gothic" w:eastAsia="Calibri" w:hAnsi="Century Gothic" w:cs="Arial"/>
          <w:color w:val="781E65"/>
          <w:sz w:val="20"/>
          <w:szCs w:val="20"/>
          <w:lang w:val="hr-HR"/>
        </w:rPr>
      </w:pPr>
    </w:p>
    <w:p w:rsidR="00130CD6" w:rsidRPr="00E448F5" w:rsidRDefault="00130CD6" w:rsidP="00130CD6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</w:rPr>
      </w:pPr>
      <w:r w:rsidRPr="00E448F5">
        <w:rPr>
          <w:rFonts w:ascii="Century Gothic" w:eastAsia="Calibri" w:hAnsi="Century Gothic" w:cs="Arial"/>
          <w:b/>
          <w:color w:val="781E65"/>
          <w:sz w:val="22"/>
          <w:lang w:val="hr-HR"/>
        </w:rPr>
        <w:t>Disability Employment Services (DES, Služba za zapošljavanje osoba s invaliditetom)</w:t>
      </w:r>
      <w:r w:rsidRPr="00E448F5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</w:t>
      </w:r>
      <w:r w:rsidRPr="00E448F5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br/>
        <w:t xml:space="preserve">može pružiti različite besplatne usluge, uključujući pomoć za zapošljavanje i zadržavanje mladih radnika s invaliditetom na poslu. To su pružatelji usluga (ILI: službe) za zapošljavanje i potporu koji imaju ugovor s državom da pomažu osobe s  invaliditetom, ozljedom ili zdravstvenim stanjem koje na to imaju pravo u pronalaženju i zadržavanju posla. </w:t>
      </w:r>
    </w:p>
    <w:p w:rsidR="00130CD6" w:rsidRPr="00E448F5" w:rsidRDefault="00130CD6" w:rsidP="00130CD6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</w:rPr>
      </w:pPr>
      <w:r w:rsidRPr="00E448F5">
        <w:rPr>
          <w:rFonts w:ascii="Century Gothic" w:eastAsia="Calibri" w:hAnsi="Century Gothic" w:cs="Arial"/>
          <w:b/>
          <w:color w:val="781E65"/>
          <w:sz w:val="22"/>
          <w:lang w:val="hr-HR"/>
        </w:rPr>
        <w:t>Community Development Programme (CDP, Program za razvoj društvene zajednice)</w:t>
      </w:r>
      <w:r w:rsidRPr="00E448F5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</w:t>
      </w:r>
      <w:r w:rsidRPr="00E448F5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br/>
        <w:t>vam može pomoći u pronalaženju odgovarajućeg osoblja ukoliko živite u udaljenom dijelu (ILI: u unutrašnjosti) Australije i želite zaposliti mladog radnika s invaliditetom.</w:t>
      </w:r>
    </w:p>
    <w:p w:rsidR="00130CD6" w:rsidRPr="00E448F5" w:rsidRDefault="00130CD6" w:rsidP="00130CD6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  <w:lang w:val="hr-HR"/>
        </w:rPr>
      </w:pPr>
      <w:r w:rsidRPr="00E448F5">
        <w:rPr>
          <w:rFonts w:ascii="Century Gothic" w:eastAsia="Calibri" w:hAnsi="Century Gothic" w:cs="Arial"/>
          <w:b/>
          <w:color w:val="781E65"/>
          <w:sz w:val="22"/>
          <w:lang w:val="hr-HR"/>
        </w:rPr>
        <w:t>Naukovanje i obuka</w:t>
      </w:r>
      <w:r w:rsidRPr="00E448F5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mogu biti dobar način privlačenja, obučavanja i zadržavanja zaposlenika koji ispunjavaju potrebe vaše tvrtke i industrije.</w:t>
      </w:r>
    </w:p>
    <w:p w:rsidR="00130CD6" w:rsidRPr="00E448F5" w:rsidRDefault="00130CD6" w:rsidP="00130CD6">
      <w:pPr>
        <w:numPr>
          <w:ilvl w:val="0"/>
          <w:numId w:val="11"/>
        </w:numPr>
        <w:tabs>
          <w:tab w:val="left" w:pos="567"/>
        </w:tabs>
        <w:suppressAutoHyphens w:val="0"/>
        <w:spacing w:before="0" w:after="120" w:line="240" w:lineRule="auto"/>
        <w:ind w:left="567" w:hanging="567"/>
        <w:contextualSpacing/>
        <w:rPr>
          <w:rFonts w:ascii="Calibri" w:eastAsia="Calibri" w:hAnsi="Calibri" w:cs="Arial"/>
          <w:color w:val="781E65"/>
          <w:szCs w:val="24"/>
          <w:lang w:val="hr-HR"/>
        </w:rPr>
      </w:pPr>
      <w:r w:rsidRPr="00E448F5">
        <w:rPr>
          <w:rFonts w:ascii="Century Gothic" w:eastAsia="Calibri" w:hAnsi="Century Gothic" w:cs="Arial"/>
          <w:b/>
          <w:color w:val="781E65"/>
          <w:sz w:val="20"/>
          <w:szCs w:val="20"/>
          <w:lang w:val="hr-HR"/>
        </w:rPr>
        <w:t>Australian Apprenticeship (Australsko naukovanje)</w:t>
      </w:r>
      <w:r w:rsidRPr="00E448F5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je osmišljeno tako da bude fleksibilno i ispuni vaše potrebe, kao i potrebe zaposlenika.</w:t>
      </w:r>
    </w:p>
    <w:p w:rsidR="00130CD6" w:rsidRPr="00E448F5" w:rsidRDefault="00130CD6" w:rsidP="00130CD6">
      <w:pPr>
        <w:numPr>
          <w:ilvl w:val="0"/>
          <w:numId w:val="11"/>
        </w:numPr>
        <w:tabs>
          <w:tab w:val="left" w:pos="567"/>
        </w:tabs>
        <w:suppressAutoHyphens w:val="0"/>
        <w:spacing w:before="0" w:after="120" w:line="240" w:lineRule="auto"/>
        <w:ind w:left="567" w:hanging="567"/>
        <w:contextualSpacing/>
        <w:rPr>
          <w:rFonts w:ascii="Calibri" w:eastAsia="Calibri" w:hAnsi="Calibri" w:cs="Arial"/>
          <w:color w:val="781E65"/>
          <w:szCs w:val="24"/>
        </w:rPr>
      </w:pPr>
      <w:r w:rsidRPr="00E448F5">
        <w:rPr>
          <w:rFonts w:ascii="Century Gothic" w:eastAsia="Calibri" w:hAnsi="Century Gothic" w:cs="Arial"/>
          <w:b/>
          <w:color w:val="781E65"/>
          <w:sz w:val="20"/>
          <w:szCs w:val="20"/>
          <w:lang w:val="hr-HR"/>
        </w:rPr>
        <w:t>Disabled Australian Apprentice Wage Support (DAAWS, Podrška za plaće australskih učenika u privredi s invaliditetom)</w:t>
      </w:r>
      <w:r w:rsidRPr="00E448F5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je isplata koja vam može pomoći osigurati da vaši učenici s invaliditetom u cijelosti sudjeluju u njihovom naukovanju. Program DAAWS vam je također na raspolaganju ako vaš učenik/pripravnik stekne invaliditet tijekom naukovanja ili obuke. </w:t>
      </w:r>
    </w:p>
    <w:p w:rsidR="00130CD6" w:rsidRPr="00E448F5" w:rsidRDefault="00130CD6" w:rsidP="00130CD6">
      <w:pPr>
        <w:suppressAutoHyphens w:val="0"/>
        <w:spacing w:before="0" w:after="120" w:line="240" w:lineRule="auto"/>
        <w:rPr>
          <w:rFonts w:ascii="Calibri" w:eastAsia="Calibri" w:hAnsi="Calibri" w:cs="Arial"/>
          <w:i/>
          <w:iCs/>
          <w:smallCaps/>
          <w:color w:val="781E65"/>
          <w:spacing w:val="5"/>
          <w:szCs w:val="24"/>
          <w:lang w:val="hr-HR"/>
        </w:rPr>
      </w:pPr>
    </w:p>
    <w:p w:rsidR="00130CD6" w:rsidRPr="00E448F5" w:rsidRDefault="00130CD6" w:rsidP="00130CD6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</w:rPr>
      </w:pPr>
      <w:r w:rsidRPr="00E448F5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Ukoliko trebate više informacija o bilo kojoj od ovih usluga, posjetite JobAccess na www.jobaccess.gov.au ili nazovite JobAccess savjetnika na 1800 464 800 –pozivi sa mobitela se naplaćuju po višoj tarifi.</w:t>
      </w:r>
    </w:p>
    <w:p w:rsidR="00130CD6" w:rsidRPr="00E448F5" w:rsidRDefault="00130CD6" w:rsidP="00130CD6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</w:rPr>
      </w:pPr>
    </w:p>
    <w:p w:rsidR="008A730F" w:rsidRPr="00E448F5" w:rsidRDefault="008A730F" w:rsidP="00130CD6">
      <w:pPr>
        <w:rPr>
          <w:color w:val="781E65"/>
        </w:rPr>
      </w:pPr>
      <w:bookmarkStart w:id="0" w:name="_GoBack"/>
      <w:bookmarkEnd w:id="0"/>
    </w:p>
    <w:sectPr w:rsidR="008A730F" w:rsidRPr="00E448F5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3D" w:rsidRDefault="00AC683D" w:rsidP="00EF4574">
      <w:pPr>
        <w:spacing w:before="0" w:after="0" w:line="240" w:lineRule="auto"/>
      </w:pPr>
      <w:r>
        <w:separator/>
      </w:r>
    </w:p>
  </w:endnote>
  <w:endnote w:type="continuationSeparator" w:id="0">
    <w:p w:rsidR="00AC683D" w:rsidRDefault="00AC683D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0A" w:rsidRPr="00347ED4" w:rsidRDefault="003C130A" w:rsidP="003C130A">
    <w:pPr>
      <w:spacing w:before="360"/>
      <w:ind w:left="84"/>
      <w:rPr>
        <w:rStyle w:val="Emphasis"/>
        <w:color w:val="850C6C"/>
      </w:rPr>
    </w:pPr>
    <w:r w:rsidRPr="003C130A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1892.06.16F</w:t>
    </w:r>
  </w:p>
  <w:p w:rsidR="00B96DCB" w:rsidRDefault="003C130A">
    <w:pPr>
      <w:pStyle w:val="Footer"/>
    </w:pPr>
    <w:r>
      <w:ptab w:relativeTo="margin" w:alignment="left" w:leader="none"/>
    </w:r>
    <w:r w:rsidR="00AC683D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A722E6">
      <w:fldChar w:fldCharType="begin"/>
    </w:r>
    <w:r w:rsidR="00B96DCB">
      <w:instrText xml:space="preserve"> PAGE   \* MERGEFORMAT </w:instrText>
    </w:r>
    <w:r w:rsidR="00A722E6">
      <w:fldChar w:fldCharType="separate"/>
    </w:r>
    <w:r>
      <w:rPr>
        <w:noProof/>
      </w:rPr>
      <w:t>2</w:t>
    </w:r>
    <w:r w:rsidR="00A722E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1601EA">
      <w:rPr>
        <w:sz w:val="28"/>
        <w:szCs w:val="28"/>
      </w:rPr>
      <w:t>.</w:t>
    </w:r>
  </w:p>
  <w:p w:rsidR="003959FC" w:rsidRPr="00E448F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E448F5">
      <w:rPr>
        <w:color w:val="781E65"/>
      </w:rPr>
      <w:t>1800 464 800</w:t>
    </w:r>
    <w:r w:rsidRPr="00E448F5">
      <w:rPr>
        <w:color w:val="781E65"/>
      </w:rPr>
      <w:tab/>
    </w:r>
    <w:r w:rsidRPr="00E448F5">
      <w:rPr>
        <w:color w:val="781E65"/>
      </w:rPr>
      <w:tab/>
      <w:t>www.jobaccess.gov.au</w:t>
    </w:r>
  </w:p>
  <w:p w:rsidR="003959FC" w:rsidRPr="00E448F5" w:rsidRDefault="003B3FB4" w:rsidP="00D93AC4">
    <w:pPr>
      <w:spacing w:before="360"/>
      <w:ind w:left="84"/>
      <w:rPr>
        <w:rStyle w:val="Emphasis"/>
        <w:color w:val="781E65"/>
      </w:rPr>
    </w:pPr>
    <w:r w:rsidRPr="00E448F5">
      <w:rPr>
        <w:rStyle w:val="Emphasis"/>
        <w:color w:val="781E65"/>
      </w:rPr>
      <w:t>Are you an employer who wants to employ a young person?</w:t>
    </w:r>
    <w:r w:rsidR="00130CD6" w:rsidRPr="00E448F5">
      <w:rPr>
        <w:rStyle w:val="Emphasis"/>
        <w:color w:val="781E65"/>
      </w:rPr>
      <w:t xml:space="preserve"> </w:t>
    </w:r>
    <w:proofErr w:type="gramStart"/>
    <w:r w:rsidR="00130CD6" w:rsidRPr="00E448F5">
      <w:rPr>
        <w:rStyle w:val="Emphasis"/>
        <w:color w:val="781E65"/>
      </w:rPr>
      <w:t>V.1.0</w:t>
    </w:r>
    <w:r w:rsidR="003C130A" w:rsidRPr="00E448F5">
      <w:rPr>
        <w:rStyle w:val="Emphasis"/>
        <w:color w:val="781E65"/>
      </w:rPr>
      <w:t xml:space="preserve"> </w:t>
    </w:r>
    <w:r w:rsidR="00101C87" w:rsidRPr="00E448F5">
      <w:rPr>
        <w:rStyle w:val="Emphasis"/>
        <w:color w:val="781E65"/>
      </w:rPr>
      <w:t xml:space="preserve"> </w:t>
    </w:r>
    <w:r w:rsidR="003C130A" w:rsidRPr="00E448F5">
      <w:rPr>
        <w:rStyle w:val="Emphasis"/>
        <w:b/>
        <w:i w:val="0"/>
        <w:color w:val="781E65"/>
      </w:rPr>
      <w:t>18</w:t>
    </w:r>
    <w:r w:rsidRPr="00E448F5">
      <w:rPr>
        <w:rStyle w:val="Emphasis"/>
        <w:b/>
        <w:i w:val="0"/>
        <w:color w:val="781E65"/>
      </w:rPr>
      <w:t>93</w:t>
    </w:r>
    <w:r w:rsidR="003C130A" w:rsidRPr="00E448F5">
      <w:rPr>
        <w:rStyle w:val="Emphasis"/>
        <w:b/>
        <w:i w:val="0"/>
        <w:color w:val="781E65"/>
      </w:rPr>
      <w:t>.06.16F</w:t>
    </w:r>
    <w:proofErr w:type="gramEnd"/>
    <w:r w:rsidR="00101C87" w:rsidRPr="00E448F5">
      <w:rPr>
        <w:rStyle w:val="Emphasis"/>
        <w:b/>
        <w:i w:val="0"/>
        <w:color w:val="781E65"/>
      </w:rPr>
      <w:t xml:space="preserve"> - CROATIAN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3D" w:rsidRDefault="00AC683D" w:rsidP="00EF4574">
      <w:pPr>
        <w:spacing w:before="0" w:after="0" w:line="240" w:lineRule="auto"/>
      </w:pPr>
      <w:r>
        <w:separator/>
      </w:r>
    </w:p>
  </w:footnote>
  <w:footnote w:type="continuationSeparator" w:id="0">
    <w:p w:rsidR="00AC683D" w:rsidRDefault="00AC683D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83D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946623"/>
    <w:multiLevelType w:val="multilevel"/>
    <w:tmpl w:val="BCA6DF0A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01C87"/>
    <w:rsid w:val="0011342E"/>
    <w:rsid w:val="00130CD6"/>
    <w:rsid w:val="001541EA"/>
    <w:rsid w:val="001601EA"/>
    <w:rsid w:val="00193871"/>
    <w:rsid w:val="001A7DDE"/>
    <w:rsid w:val="001B5E79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3FB4"/>
    <w:rsid w:val="003B4F12"/>
    <w:rsid w:val="003C130A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44917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5108C"/>
    <w:rsid w:val="00751F69"/>
    <w:rsid w:val="00764B64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0322B"/>
    <w:rsid w:val="00A23627"/>
    <w:rsid w:val="00A24A62"/>
    <w:rsid w:val="00A31C9F"/>
    <w:rsid w:val="00A55104"/>
    <w:rsid w:val="00A722E6"/>
    <w:rsid w:val="00AC164A"/>
    <w:rsid w:val="00AC683D"/>
    <w:rsid w:val="00AF1058"/>
    <w:rsid w:val="00AF2050"/>
    <w:rsid w:val="00B66B14"/>
    <w:rsid w:val="00B96DCB"/>
    <w:rsid w:val="00BB26C5"/>
    <w:rsid w:val="00BC15C6"/>
    <w:rsid w:val="00BC3098"/>
    <w:rsid w:val="00BF4DE6"/>
    <w:rsid w:val="00C04007"/>
    <w:rsid w:val="00C42CDE"/>
    <w:rsid w:val="00C61742"/>
    <w:rsid w:val="00CA37B1"/>
    <w:rsid w:val="00CB1959"/>
    <w:rsid w:val="00CD5CE5"/>
    <w:rsid w:val="00CE4B0F"/>
    <w:rsid w:val="00D0296C"/>
    <w:rsid w:val="00D93AC4"/>
    <w:rsid w:val="00D948FE"/>
    <w:rsid w:val="00DB62EE"/>
    <w:rsid w:val="00E357B7"/>
    <w:rsid w:val="00E448F5"/>
    <w:rsid w:val="00E53800"/>
    <w:rsid w:val="00E6081F"/>
    <w:rsid w:val="00E67F4B"/>
    <w:rsid w:val="00E87CED"/>
    <w:rsid w:val="00EA04B2"/>
    <w:rsid w:val="00EA20F3"/>
    <w:rsid w:val="00EC15AE"/>
    <w:rsid w:val="00ED43D1"/>
    <w:rsid w:val="00EE4EE1"/>
    <w:rsid w:val="00EF4574"/>
    <w:rsid w:val="00F1504F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27014B11-CA4F-479C-A385-90D34511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BC1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FFFA-08C3-4229-BBCC-49154097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2016-07-15T03:30:00Z</dcterms:created>
  <dcterms:modified xsi:type="dcterms:W3CDTF">2016-07-20T09:55:00Z</dcterms:modified>
</cp:coreProperties>
</file>