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9" w:rsidRPr="000B40B5" w:rsidRDefault="00FC3AA9" w:rsidP="00FA32BE">
      <w:pPr>
        <w:bidi/>
        <w:spacing w:after="0" w:line="240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</w:pPr>
      <w:r w:rsidRPr="000B40B5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ورقة الوقائع</w:t>
      </w:r>
    </w:p>
    <w:p w:rsidR="00FC3AA9" w:rsidRPr="000B40B5" w:rsidRDefault="00FC3AA9" w:rsidP="00FA32BE">
      <w:pPr>
        <w:bidi/>
        <w:spacing w:after="0" w:line="240" w:lineRule="auto"/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</w:rPr>
      </w:pPr>
      <w:r w:rsidRPr="000B40B5">
        <w:rPr>
          <w:rStyle w:val="GridTable1Light1"/>
          <w:bCs/>
          <w:i w:val="0"/>
          <w:iCs w:val="0"/>
          <w:caps/>
          <w:smallCaps w:val="0"/>
          <w:color w:val="781E65"/>
          <w:sz w:val="56"/>
          <w:szCs w:val="56"/>
          <w:rtl/>
        </w:rPr>
        <w:t>التمويل المتاح لأرباب العمل</w:t>
      </w:r>
    </w:p>
    <w:p w:rsidR="00FC3AA9" w:rsidRPr="000B40B5" w:rsidRDefault="00FC3AA9" w:rsidP="001A4069">
      <w:pPr>
        <w:bidi/>
        <w:spacing w:line="276" w:lineRule="auto"/>
        <w:jc w:val="both"/>
        <w:rPr>
          <w:rStyle w:val="GridTable1Light1"/>
          <w:i w:val="0"/>
          <w:iCs w:val="0"/>
          <w:smallCaps w:val="0"/>
          <w:color w:val="781E65"/>
          <w:szCs w:val="24"/>
          <w:rtl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يقدم صندوق المساعدة للتوظيف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Employment Assistance Fund (EAF)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الدعم المالي للأشخاص ذوي الإعاقة، أو لرب العمل، لشراء مجموعة من التعديلات والمعدات والخدمات المتعلقة بالعمل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.</w:t>
      </w:r>
    </w:p>
    <w:p w:rsidR="00FC3AA9" w:rsidRPr="000B40B5" w:rsidRDefault="00FC3AA9" w:rsidP="001A4069">
      <w:pPr>
        <w:bidi/>
        <w:spacing w:line="276" w:lineRule="auto"/>
        <w:jc w:val="both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يمكن الحصول على ذلك الدعم لمساعدة الأشخاص ذوي الإعاقة الذين يتم توظيفهم، فضلا عن أولئك الذين يحتاجون للمساعدة للبحث عن العمل والتحضير له.</w:t>
      </w:r>
    </w:p>
    <w:p w:rsidR="00FA32BE" w:rsidRPr="000B40B5" w:rsidRDefault="00FC3AA9" w:rsidP="001A4069">
      <w:pPr>
        <w:bidi/>
        <w:spacing w:line="276" w:lineRule="auto"/>
        <w:jc w:val="both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تشمل بعض الأمثلة على ما يمكن استخدام صندوق المساعدة للتوظيف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 xml:space="preserve"> EAF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فيه؛</w:t>
      </w:r>
    </w:p>
    <w:p w:rsidR="00FA32BE" w:rsidRPr="000B40B5" w:rsidRDefault="00FA32BE" w:rsidP="001A4069">
      <w:pPr>
        <w:suppressAutoHyphens w:val="0"/>
        <w:bidi/>
        <w:spacing w:after="200" w:line="276" w:lineRule="auto"/>
        <w:ind w:left="720"/>
        <w:contextualSpacing/>
        <w:rPr>
          <w:rStyle w:val="GridTable1Light1"/>
          <w:i w:val="0"/>
          <w:iCs w:val="0"/>
          <w:smallCaps w:val="0"/>
          <w:color w:val="781E65"/>
          <w:sz w:val="12"/>
          <w:szCs w:val="12"/>
        </w:rPr>
      </w:pP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تعديلات أماكن العمل والمعدات، مثل التكنولوجيا المساعدة والمعدات الالكترونية ومعدات الاتصالات؛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أجهزة تكنولوجيا الاتصالات؛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ترجمة لغة الإشارة الأسترالية </w:t>
      </w:r>
      <w:proofErr w:type="spellStart"/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Auslan</w:t>
      </w:r>
      <w:proofErr w:type="spellEnd"/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حزم برمجيات الحاسوب وتحديث حزم البرمجيات؛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التعديلات المادية في أماكن العمل؛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التعديلات على السيارات الخاصة بالعمل؛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التدريب على التوعية بالصم؛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after="200" w:line="276" w:lineRule="auto"/>
        <w:contextualSpacing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التدريب على التوعية بالإعاقة؛ و</w:t>
      </w:r>
    </w:p>
    <w:p w:rsidR="00FC3AA9" w:rsidRPr="000B40B5" w:rsidRDefault="00FC3AA9" w:rsidP="001A4069">
      <w:pPr>
        <w:numPr>
          <w:ilvl w:val="0"/>
          <w:numId w:val="15"/>
        </w:numPr>
        <w:suppressAutoHyphens w:val="0"/>
        <w:bidi/>
        <w:spacing w:before="0" w:line="276" w:lineRule="auto"/>
        <w:contextualSpacing/>
        <w:rPr>
          <w:color w:val="781E65"/>
          <w:szCs w:val="24"/>
          <w:lang w:bidi="ar-IQ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خدمات متخصصة بالدعم المتعلق بالعمل للموظفين الذين يعانون من ظروف صحية عقلية أو اضطرابات التعلم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.</w:t>
      </w:r>
    </w:p>
    <w:p w:rsidR="00FC3AA9" w:rsidRPr="000B40B5" w:rsidRDefault="00FC3AA9" w:rsidP="001A4069">
      <w:pPr>
        <w:bidi/>
        <w:spacing w:line="276" w:lineRule="auto"/>
        <w:rPr>
          <w:rStyle w:val="GridTable1Light1"/>
          <w:bCs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bCs/>
          <w:i w:val="0"/>
          <w:iCs w:val="0"/>
          <w:smallCaps w:val="0"/>
          <w:color w:val="781E65"/>
          <w:szCs w:val="24"/>
          <w:rtl/>
        </w:rPr>
        <w:t>معونات دعم الأجور</w:t>
      </w:r>
    </w:p>
    <w:p w:rsidR="00FC3AA9" w:rsidRPr="000B40B5" w:rsidRDefault="00FC3AA9" w:rsidP="001A4069">
      <w:pPr>
        <w:bidi/>
        <w:spacing w:line="276" w:lineRule="auto"/>
        <w:jc w:val="both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color w:val="781E65"/>
          <w:szCs w:val="24"/>
          <w:rtl/>
        </w:rPr>
        <w:t xml:space="preserve">تقدم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  <w:t xml:space="preserve">معونات دعم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الأجور الحوافز المالية لأرباب العمل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  <w:t xml:space="preserve">من أجل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عرض التوظيف المستمر لذوي الإعاقة وللعاملين كبار السن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.</w:t>
      </w:r>
    </w:p>
    <w:p w:rsidR="00FC3AA9" w:rsidRPr="000B40B5" w:rsidRDefault="00FC3AA9" w:rsidP="001A4069">
      <w:pPr>
        <w:bidi/>
        <w:spacing w:line="276" w:lineRule="auto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  <w:lang w:bidi="ar-IQ"/>
        </w:rPr>
        <w:t>بصفتك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رب عمل، قد تكون مؤهلا للحصول على المساعدات المالية لدعم توظيف شخص من ذوي الإعاقة من خلال برنامج معونات دعم الأجور</w:t>
      </w:r>
      <w:r w:rsidR="00FA32BE" w:rsidRPr="000B40B5">
        <w:rPr>
          <w:color w:val="781E65"/>
          <w:szCs w:val="24"/>
        </w:rPr>
        <w:t xml:space="preserve"> Wage Subsidy Scheme</w:t>
      </w:r>
      <w:r w:rsidR="00FA32BE"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لخدمات توظيف ذوي الإعاقة </w:t>
      </w:r>
      <w:r w:rsidR="00FA32BE" w:rsidRPr="000B40B5">
        <w:rPr>
          <w:color w:val="781E65"/>
          <w:szCs w:val="24"/>
        </w:rPr>
        <w:t>Disability Employment Services (DES)</w:t>
      </w:r>
      <w:r w:rsidR="00FA32BE"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، أو إعادة تشغيل العمال كبار السن </w:t>
      </w:r>
      <w:r w:rsidR="00FA32BE" w:rsidRPr="000B40B5">
        <w:rPr>
          <w:color w:val="781E65"/>
          <w:szCs w:val="24"/>
        </w:rPr>
        <w:t>Restart for Mature Workers</w:t>
      </w:r>
      <w:r w:rsidR="00FA32BE" w:rsidRPr="000B40B5">
        <w:rPr>
          <w:color w:val="781E65"/>
          <w:szCs w:val="24"/>
          <w:rtl/>
        </w:rPr>
        <w:t>.</w:t>
      </w:r>
    </w:p>
    <w:p w:rsidR="00FC3AA9" w:rsidRPr="000B40B5" w:rsidRDefault="00FC3AA9" w:rsidP="001A4069">
      <w:pPr>
        <w:bidi/>
        <w:spacing w:line="276" w:lineRule="auto"/>
        <w:jc w:val="both"/>
        <w:rPr>
          <w:rStyle w:val="GridTable1Light1"/>
          <w:i w:val="0"/>
          <w:iCs w:val="0"/>
          <w:smallCaps w:val="0"/>
          <w:color w:val="781E65"/>
          <w:szCs w:val="24"/>
        </w:rPr>
      </w:pP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>لمعرفة المزيد عن صندوق الإعانة للتوظيف أو معونات دعم الأجور قم بزيارة الموقع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 xml:space="preserve"> </w:t>
      </w:r>
      <w:r w:rsidRPr="000B40B5">
        <w:rPr>
          <w:rFonts w:cs="MuseoSans-500"/>
          <w:color w:val="781E65"/>
          <w:u w:color="0070C0"/>
        </w:rPr>
        <w:t>www.jobaccess.gov.au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 xml:space="preserve">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br/>
      </w:r>
      <w:r w:rsidRPr="000B40B5">
        <w:rPr>
          <w:rStyle w:val="GridTable1Light1"/>
          <w:i w:val="0"/>
          <w:iCs w:val="0"/>
          <w:color w:val="781E65"/>
          <w:szCs w:val="24"/>
          <w:rtl/>
        </w:rPr>
        <w:t xml:space="preserve">أو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اتصل بمستشار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JobAccess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على الرقم 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</w:rPr>
        <w:t>1800 464 800</w:t>
      </w:r>
      <w:r w:rsidRPr="000B40B5">
        <w:rPr>
          <w:rStyle w:val="GridTable1Light1"/>
          <w:i w:val="0"/>
          <w:iCs w:val="0"/>
          <w:smallCaps w:val="0"/>
          <w:color w:val="781E65"/>
          <w:szCs w:val="24"/>
          <w:rtl/>
        </w:rPr>
        <w:t xml:space="preserve"> - تفرض رسوم اتصال على المكالمات من الهواتف النقالة.</w:t>
      </w:r>
    </w:p>
    <w:p w:rsidR="008A730F" w:rsidRPr="000B40B5" w:rsidRDefault="008A730F" w:rsidP="00FC3AA9">
      <w:pPr>
        <w:rPr>
          <w:color w:val="781E65"/>
        </w:rPr>
      </w:pPr>
      <w:bookmarkStart w:id="0" w:name="_GoBack"/>
      <w:bookmarkEnd w:id="0"/>
    </w:p>
    <w:sectPr w:rsidR="008A730F" w:rsidRPr="000B40B5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DFA" w:rsidRDefault="00E36DFA" w:rsidP="00EF4574">
      <w:pPr>
        <w:spacing w:before="0" w:after="0" w:line="240" w:lineRule="auto"/>
      </w:pPr>
      <w:r>
        <w:separator/>
      </w:r>
    </w:p>
  </w:endnote>
  <w:endnote w:type="continuationSeparator" w:id="0">
    <w:p w:rsidR="00E36DFA" w:rsidRDefault="00E36DF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36DF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93162D">
      <w:fldChar w:fldCharType="begin"/>
    </w:r>
    <w:r w:rsidR="00B96DCB">
      <w:instrText xml:space="preserve"> PAGE   \* MERGEFORMAT </w:instrText>
    </w:r>
    <w:r w:rsidR="0093162D">
      <w:fldChar w:fldCharType="separate"/>
    </w:r>
    <w:r w:rsidR="009D3E45">
      <w:rPr>
        <w:noProof/>
      </w:rPr>
      <w:t>2</w:t>
    </w:r>
    <w:r w:rsidR="009316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1A4069">
      <w:rPr>
        <w:sz w:val="28"/>
        <w:szCs w:val="28"/>
      </w:rPr>
      <w:t>.</w:t>
    </w:r>
  </w:p>
  <w:p w:rsidR="003959FC" w:rsidRPr="000B40B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B40B5">
      <w:rPr>
        <w:color w:val="781E65"/>
      </w:rPr>
      <w:t>1800 464 800</w:t>
    </w:r>
    <w:r w:rsidRPr="000B40B5">
      <w:rPr>
        <w:color w:val="781E65"/>
      </w:rPr>
      <w:tab/>
    </w:r>
    <w:r w:rsidRPr="000B40B5">
      <w:rPr>
        <w:color w:val="781E65"/>
      </w:rPr>
      <w:tab/>
      <w:t>www.jobaccess.gov.au</w:t>
    </w:r>
  </w:p>
  <w:p w:rsidR="003959FC" w:rsidRPr="000B40B5" w:rsidRDefault="003E684C" w:rsidP="00FE481C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0B40B5">
      <w:rPr>
        <w:rStyle w:val="Emphasis"/>
        <w:color w:val="781E65"/>
      </w:rPr>
      <w:t>Funding available for employers</w:t>
    </w:r>
    <w:r w:rsidR="0060751C" w:rsidRPr="000B40B5">
      <w:rPr>
        <w:rStyle w:val="Emphasis"/>
        <w:color w:val="781E65"/>
      </w:rPr>
      <w:t xml:space="preserve"> V</w:t>
    </w:r>
    <w:r w:rsidR="00DD1EA0" w:rsidRPr="000B40B5">
      <w:rPr>
        <w:rStyle w:val="Emphasis"/>
        <w:color w:val="781E65"/>
      </w:rPr>
      <w:t>.</w:t>
    </w:r>
    <w:r w:rsidR="0060751C" w:rsidRPr="000B40B5">
      <w:rPr>
        <w:rStyle w:val="Emphasis"/>
        <w:color w:val="781E65"/>
      </w:rPr>
      <w:t>1.0</w:t>
    </w:r>
    <w:r w:rsidR="003959FC" w:rsidRPr="000B40B5">
      <w:rPr>
        <w:rStyle w:val="Emphasis"/>
        <w:color w:val="781E65"/>
      </w:rPr>
      <w:t xml:space="preserve"> </w:t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</w:r>
    <w:r w:rsidR="001A4069" w:rsidRPr="000B40B5">
      <w:rPr>
        <w:rStyle w:val="Emphasis"/>
        <w:color w:val="781E65"/>
      </w:rPr>
      <w:tab/>
      <w:t xml:space="preserve">     </w:t>
    </w:r>
    <w:r w:rsidR="00FE481C" w:rsidRPr="000B40B5">
      <w:rPr>
        <w:rStyle w:val="Emphasis"/>
        <w:b/>
        <w:bCs/>
        <w:i w:val="0"/>
        <w:iCs w:val="0"/>
        <w:color w:val="781E65"/>
      </w:rPr>
      <w:t>1896.06.16</w:t>
    </w:r>
    <w:r w:rsidR="00FC3AA9" w:rsidRPr="000B40B5">
      <w:rPr>
        <w:rStyle w:val="Emphasis"/>
        <w:b/>
        <w:bCs/>
        <w:i w:val="0"/>
        <w:iCs w:val="0"/>
        <w:color w:val="781E65"/>
      </w:rPr>
      <w:t>A</w:t>
    </w:r>
    <w:r w:rsidR="001A4069" w:rsidRPr="000B40B5">
      <w:rPr>
        <w:rStyle w:val="Emphasis"/>
        <w:b/>
        <w:bCs/>
        <w:i w:val="0"/>
        <w:iCs w:val="0"/>
        <w:color w:val="781E65"/>
      </w:rPr>
      <w:t xml:space="preserve"> - ARABIC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DFA" w:rsidRDefault="00E36DFA" w:rsidP="00EF4574">
      <w:pPr>
        <w:spacing w:before="0" w:after="0" w:line="240" w:lineRule="auto"/>
      </w:pPr>
      <w:r>
        <w:separator/>
      </w:r>
    </w:p>
  </w:footnote>
  <w:footnote w:type="continuationSeparator" w:id="0">
    <w:p w:rsidR="00E36DFA" w:rsidRDefault="00E36DF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6DF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390"/>
    <w:multiLevelType w:val="hybridMultilevel"/>
    <w:tmpl w:val="F7C26218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1E44276"/>
    <w:multiLevelType w:val="hybridMultilevel"/>
    <w:tmpl w:val="E02A69A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C6C07"/>
    <w:multiLevelType w:val="hybridMultilevel"/>
    <w:tmpl w:val="2F94D12C"/>
    <w:lvl w:ilvl="0" w:tplc="0B3675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56D77"/>
    <w:rsid w:val="00060073"/>
    <w:rsid w:val="000705F9"/>
    <w:rsid w:val="000B40B5"/>
    <w:rsid w:val="0011342E"/>
    <w:rsid w:val="001541EA"/>
    <w:rsid w:val="00193871"/>
    <w:rsid w:val="00197011"/>
    <w:rsid w:val="001A4069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684C"/>
    <w:rsid w:val="00401C21"/>
    <w:rsid w:val="00423F31"/>
    <w:rsid w:val="0042695C"/>
    <w:rsid w:val="00431899"/>
    <w:rsid w:val="00434E13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06A1"/>
    <w:rsid w:val="00533B5D"/>
    <w:rsid w:val="0054549B"/>
    <w:rsid w:val="00574F50"/>
    <w:rsid w:val="00584817"/>
    <w:rsid w:val="005A1F1B"/>
    <w:rsid w:val="005F4FBF"/>
    <w:rsid w:val="0060751C"/>
    <w:rsid w:val="00623BA1"/>
    <w:rsid w:val="006346BC"/>
    <w:rsid w:val="0066652A"/>
    <w:rsid w:val="0068036A"/>
    <w:rsid w:val="00682167"/>
    <w:rsid w:val="006B22E4"/>
    <w:rsid w:val="006C42AF"/>
    <w:rsid w:val="006D7ECD"/>
    <w:rsid w:val="00711D8E"/>
    <w:rsid w:val="00712672"/>
    <w:rsid w:val="00734E3F"/>
    <w:rsid w:val="00736985"/>
    <w:rsid w:val="007B6200"/>
    <w:rsid w:val="007B6F69"/>
    <w:rsid w:val="007B6FA4"/>
    <w:rsid w:val="00801B9F"/>
    <w:rsid w:val="00810B7F"/>
    <w:rsid w:val="008726CE"/>
    <w:rsid w:val="00894A5F"/>
    <w:rsid w:val="008A730F"/>
    <w:rsid w:val="0093162D"/>
    <w:rsid w:val="00944E1F"/>
    <w:rsid w:val="009545B5"/>
    <w:rsid w:val="009A4B7C"/>
    <w:rsid w:val="009B4D3B"/>
    <w:rsid w:val="009D3E45"/>
    <w:rsid w:val="009D7407"/>
    <w:rsid w:val="009E0866"/>
    <w:rsid w:val="00A24A62"/>
    <w:rsid w:val="00A31C9F"/>
    <w:rsid w:val="00A55104"/>
    <w:rsid w:val="00AC164A"/>
    <w:rsid w:val="00AF1058"/>
    <w:rsid w:val="00AF2050"/>
    <w:rsid w:val="00B52C4F"/>
    <w:rsid w:val="00B66B14"/>
    <w:rsid w:val="00B96DCB"/>
    <w:rsid w:val="00BB26C5"/>
    <w:rsid w:val="00BC3098"/>
    <w:rsid w:val="00BF4DE6"/>
    <w:rsid w:val="00C02655"/>
    <w:rsid w:val="00C0750C"/>
    <w:rsid w:val="00C42CDE"/>
    <w:rsid w:val="00CA37B1"/>
    <w:rsid w:val="00CB1959"/>
    <w:rsid w:val="00CD5CE5"/>
    <w:rsid w:val="00D0296C"/>
    <w:rsid w:val="00D93AC4"/>
    <w:rsid w:val="00D948FE"/>
    <w:rsid w:val="00DB62EE"/>
    <w:rsid w:val="00DD1EA0"/>
    <w:rsid w:val="00E357B7"/>
    <w:rsid w:val="00E36DFA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A32BE"/>
    <w:rsid w:val="00FB2277"/>
    <w:rsid w:val="00FC3AA9"/>
    <w:rsid w:val="00FE481C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1DC8EC09-8C0A-46E3-952C-54FF9815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574F5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C02F-A2E5-4419-B3BE-9FDE454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12</cp:revision>
  <cp:lastPrinted>2013-10-29T09:49:00Z</cp:lastPrinted>
  <dcterms:created xsi:type="dcterms:W3CDTF">2016-07-15T01:24:00Z</dcterms:created>
  <dcterms:modified xsi:type="dcterms:W3CDTF">2016-07-20T09:06:00Z</dcterms:modified>
</cp:coreProperties>
</file>