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64" w:rsidRPr="00EA56CF" w:rsidRDefault="00AE5064" w:rsidP="005A6F46">
      <w:pPr>
        <w:bidi/>
        <w:spacing w:after="0" w:line="276" w:lineRule="auto"/>
        <w:jc w:val="both"/>
        <w:rPr>
          <w:b/>
          <w:bCs/>
          <w:color w:val="781E65"/>
          <w:sz w:val="56"/>
          <w:szCs w:val="56"/>
        </w:rPr>
      </w:pPr>
      <w:r w:rsidRPr="00EA56CF">
        <w:rPr>
          <w:b/>
          <w:bCs/>
          <w:color w:val="781E65"/>
          <w:sz w:val="56"/>
          <w:szCs w:val="56"/>
          <w:rtl/>
        </w:rPr>
        <w:t>ورقة الوقائع</w:t>
      </w:r>
    </w:p>
    <w:p w:rsidR="00AE5064" w:rsidRPr="00EA56CF" w:rsidRDefault="00AE5064" w:rsidP="005A6F46">
      <w:pPr>
        <w:bidi/>
        <w:spacing w:after="0" w:line="276" w:lineRule="auto"/>
        <w:jc w:val="both"/>
        <w:rPr>
          <w:b/>
          <w:bCs/>
          <w:color w:val="781E65"/>
          <w:sz w:val="56"/>
          <w:szCs w:val="56"/>
        </w:rPr>
      </w:pPr>
      <w:r w:rsidRPr="00EA56CF">
        <w:rPr>
          <w:b/>
          <w:bCs/>
          <w:color w:val="781E65"/>
          <w:sz w:val="56"/>
          <w:szCs w:val="56"/>
          <w:rtl/>
        </w:rPr>
        <w:t>توظيف الأشخاص ذوي الإعاقة</w:t>
      </w:r>
    </w:p>
    <w:p w:rsidR="00AE5064" w:rsidRPr="00EA56CF" w:rsidRDefault="00AE5064" w:rsidP="005A6F46">
      <w:pPr>
        <w:bidi/>
        <w:spacing w:line="276" w:lineRule="auto"/>
        <w:jc w:val="both"/>
        <w:rPr>
          <w:color w:val="781E65"/>
          <w:szCs w:val="24"/>
        </w:rPr>
      </w:pPr>
      <w:r w:rsidRPr="00EA56CF">
        <w:rPr>
          <w:color w:val="781E65"/>
          <w:szCs w:val="24"/>
          <w:rtl/>
        </w:rPr>
        <w:t>هناك فوائد للمؤسسة عند توظيف شخص من ذوي الإعاقة - فوائد أبعد من مجرد شغل الوظيفة. تلك الفوائد مدعومة بالدراسات الأسترالية والدولية. الموظفون ذوو الإعاقة هم:</w:t>
      </w:r>
    </w:p>
    <w:p w:rsidR="00AE5064" w:rsidRPr="00EA56CF" w:rsidRDefault="00AE5064" w:rsidP="005A6F46">
      <w:pPr>
        <w:pStyle w:val="ListParagraph"/>
        <w:numPr>
          <w:ilvl w:val="0"/>
          <w:numId w:val="11"/>
        </w:numPr>
        <w:suppressAutoHyphens w:val="0"/>
        <w:bidi/>
        <w:spacing w:before="0" w:after="200" w:line="276" w:lineRule="auto"/>
        <w:jc w:val="both"/>
        <w:rPr>
          <w:color w:val="781E65"/>
          <w:szCs w:val="24"/>
        </w:rPr>
      </w:pPr>
      <w:r w:rsidRPr="00EA56CF">
        <w:rPr>
          <w:color w:val="781E65"/>
          <w:szCs w:val="24"/>
          <w:u w:val="single"/>
          <w:rtl/>
        </w:rPr>
        <w:t>موثوق بهم</w:t>
      </w:r>
      <w:r w:rsidRPr="00EA56CF">
        <w:rPr>
          <w:color w:val="781E65"/>
          <w:szCs w:val="24"/>
          <w:rtl/>
        </w:rPr>
        <w:t xml:space="preserve"> - الأشخاص ذوي الإعاقة يأخذون أيام إجازة أقل، ويأخذون إجازات مرضية أقل، ومعدل استبقاءهم بنسبة أعلى من غيرهم من العاملين.</w:t>
      </w:r>
    </w:p>
    <w:p w:rsidR="00AE5064" w:rsidRPr="00EA56CF" w:rsidRDefault="00AE5064" w:rsidP="005A6F46">
      <w:pPr>
        <w:pStyle w:val="ListParagraph"/>
        <w:numPr>
          <w:ilvl w:val="0"/>
          <w:numId w:val="11"/>
        </w:numPr>
        <w:suppressAutoHyphens w:val="0"/>
        <w:bidi/>
        <w:spacing w:before="0" w:after="200" w:line="276" w:lineRule="auto"/>
        <w:jc w:val="both"/>
        <w:rPr>
          <w:color w:val="781E65"/>
          <w:szCs w:val="24"/>
        </w:rPr>
      </w:pPr>
      <w:r w:rsidRPr="00EA56CF">
        <w:rPr>
          <w:color w:val="781E65"/>
          <w:szCs w:val="24"/>
          <w:u w:val="single"/>
          <w:rtl/>
        </w:rPr>
        <w:t>منتجون</w:t>
      </w:r>
      <w:r w:rsidRPr="00EA56CF">
        <w:rPr>
          <w:color w:val="781E65"/>
          <w:szCs w:val="24"/>
          <w:rtl/>
        </w:rPr>
        <w:t xml:space="preserve"> - بمجرد شغلهم للوظيفة المناسبة، فإن الأشخاص ذوي الإعاقة يتسمون بنفس الكفاءة مقارنة بغيرهم من الموظفين.</w:t>
      </w:r>
    </w:p>
    <w:p w:rsidR="00AE5064" w:rsidRPr="00EA56CF" w:rsidRDefault="00AE5064" w:rsidP="005A6F46">
      <w:pPr>
        <w:pStyle w:val="ListParagraph"/>
        <w:numPr>
          <w:ilvl w:val="0"/>
          <w:numId w:val="11"/>
        </w:numPr>
        <w:suppressAutoHyphens w:val="0"/>
        <w:bidi/>
        <w:spacing w:before="0" w:after="200" w:line="276" w:lineRule="auto"/>
        <w:jc w:val="both"/>
        <w:rPr>
          <w:color w:val="781E65"/>
          <w:szCs w:val="24"/>
        </w:rPr>
      </w:pPr>
      <w:r w:rsidRPr="00EA56CF">
        <w:rPr>
          <w:color w:val="781E65"/>
          <w:szCs w:val="24"/>
          <w:u w:val="single"/>
          <w:rtl/>
        </w:rPr>
        <w:t>تكاليفهم معقولة</w:t>
      </w:r>
      <w:r w:rsidRPr="00EA56CF">
        <w:rPr>
          <w:color w:val="781E65"/>
          <w:szCs w:val="24"/>
          <w:rtl/>
        </w:rPr>
        <w:t xml:space="preserve"> - تكلفة أقل للتوظيف ولتغطية التأمين ولتكاليف التعويض. أن الأشخاص ذوي الإعاقة </w:t>
      </w:r>
      <w:r w:rsidRPr="00EA56CF">
        <w:rPr>
          <w:color w:val="781E65"/>
          <w:szCs w:val="24"/>
          <w:rtl/>
          <w:lang w:bidi="ar-IQ"/>
        </w:rPr>
        <w:t>تحصل لهم</w:t>
      </w:r>
      <w:r w:rsidRPr="00EA56CF">
        <w:rPr>
          <w:color w:val="781E65"/>
          <w:szCs w:val="24"/>
          <w:rtl/>
        </w:rPr>
        <w:t xml:space="preserve"> حالات أقل من التعويضات وحوادث العمل بالمقارنة مع الموظفين الآخرين.</w:t>
      </w:r>
    </w:p>
    <w:p w:rsidR="00AE5064" w:rsidRPr="00EA56CF" w:rsidRDefault="00AE5064" w:rsidP="005A6F46">
      <w:pPr>
        <w:pStyle w:val="ListParagraph"/>
        <w:numPr>
          <w:ilvl w:val="0"/>
          <w:numId w:val="11"/>
        </w:numPr>
        <w:suppressAutoHyphens w:val="0"/>
        <w:bidi/>
        <w:spacing w:before="0" w:after="200" w:line="276" w:lineRule="auto"/>
        <w:jc w:val="both"/>
        <w:rPr>
          <w:color w:val="781E65"/>
          <w:szCs w:val="24"/>
        </w:rPr>
      </w:pPr>
      <w:r w:rsidRPr="00EA56CF">
        <w:rPr>
          <w:color w:val="781E65"/>
          <w:szCs w:val="24"/>
          <w:u w:val="single"/>
          <w:rtl/>
        </w:rPr>
        <w:t>جيدون للعمل التجاري</w:t>
      </w:r>
      <w:r w:rsidRPr="00EA56CF">
        <w:rPr>
          <w:color w:val="781E65"/>
          <w:szCs w:val="24"/>
          <w:rtl/>
        </w:rPr>
        <w:t xml:space="preserve"> - الأشخاص من ذوي الإعاقة ينشئون علاقات قوية مع العملاء، ويرفعون من الروح المعنوية للكادر ويعززون ولاءه عبر المساعدة في إنشاء قوة عمل متنوعة. هناك وفورات حقيقية في التكاليف من خلال تخفيض كلفة تعاقب العاملين والتوظيف وتكاليف إعادة التدريب. يسهم توظيف الأشخاص ذوي الإعاقة في التنوع العام في المؤسسة. كما يعزز صورة الشركة بين كوادرها وعملائها والمجتمع بفوائد إيجابية للعلامة التجارية لرب العمل. أن كون المؤسسة ودية لذوي الإعاقة هو وسيلة جيدة للترويج لمؤسستك.</w:t>
      </w:r>
    </w:p>
    <w:p w:rsidR="00AE5064" w:rsidRPr="00EA56CF" w:rsidRDefault="00AE5064" w:rsidP="005A6F46">
      <w:pPr>
        <w:bidi/>
        <w:spacing w:line="276" w:lineRule="auto"/>
        <w:jc w:val="both"/>
        <w:rPr>
          <w:b/>
          <w:bCs/>
          <w:color w:val="781E65"/>
          <w:szCs w:val="24"/>
        </w:rPr>
      </w:pPr>
      <w:r w:rsidRPr="00EA56CF">
        <w:rPr>
          <w:b/>
          <w:bCs/>
          <w:color w:val="781E65"/>
          <w:szCs w:val="24"/>
          <w:rtl/>
        </w:rPr>
        <w:t>تنظيم الإفصاح</w:t>
      </w:r>
    </w:p>
    <w:p w:rsidR="00AE5064" w:rsidRPr="00EA56CF" w:rsidRDefault="00AE5064" w:rsidP="005A6F46">
      <w:pPr>
        <w:bidi/>
        <w:spacing w:line="276" w:lineRule="auto"/>
        <w:jc w:val="both"/>
        <w:rPr>
          <w:color w:val="781E65"/>
          <w:szCs w:val="24"/>
        </w:rPr>
      </w:pPr>
      <w:r w:rsidRPr="00EA56CF">
        <w:rPr>
          <w:color w:val="781E65"/>
          <w:szCs w:val="24"/>
          <w:rtl/>
        </w:rPr>
        <w:t>بإمكان موظفك أن يختار ما إذا كان يريد إخبارك عن إعاقته. ليس هناك أي التزام قانوني عليه للكشف عن الإعاقة ما لم تؤثر على قدرته على القيام بعمله.</w:t>
      </w:r>
    </w:p>
    <w:p w:rsidR="00AE5064" w:rsidRPr="00EA56CF" w:rsidRDefault="00AE5064" w:rsidP="005A6F46">
      <w:pPr>
        <w:bidi/>
        <w:spacing w:line="276" w:lineRule="auto"/>
        <w:jc w:val="both"/>
        <w:rPr>
          <w:color w:val="781E65"/>
          <w:szCs w:val="24"/>
        </w:rPr>
      </w:pPr>
      <w:r w:rsidRPr="00EA56CF">
        <w:rPr>
          <w:color w:val="781E65"/>
          <w:szCs w:val="24"/>
          <w:rtl/>
        </w:rPr>
        <w:t>إن المعلومات حول إعاقة الموظف غالبا ما تنطوي ع</w:t>
      </w:r>
      <w:bookmarkStart w:id="0" w:name="_GoBack"/>
      <w:bookmarkEnd w:id="0"/>
      <w:r w:rsidRPr="00EA56CF">
        <w:rPr>
          <w:color w:val="781E65"/>
          <w:szCs w:val="24"/>
          <w:rtl/>
        </w:rPr>
        <w:t>لى تفاصيل شخصية حساسة. إذا أخبرك الموظف عن إعاقته، فينبغي عليك أن تأخذ بنظر الاعتبار إمكانية التدريب أو إدخال التعديلات المعقولة ذات الصلة بالعمل، لتلبية احتياجاته ذات الصلة بالعمل.</w:t>
      </w:r>
    </w:p>
    <w:p w:rsidR="00AE5064" w:rsidRPr="00EA56CF" w:rsidRDefault="00AE5064" w:rsidP="005A6F46">
      <w:pPr>
        <w:bidi/>
        <w:spacing w:line="276" w:lineRule="auto"/>
        <w:jc w:val="both"/>
        <w:rPr>
          <w:b/>
          <w:bCs/>
          <w:color w:val="781E65"/>
          <w:szCs w:val="24"/>
          <w:rtl/>
          <w:lang w:bidi="ar-IQ"/>
        </w:rPr>
      </w:pPr>
      <w:r w:rsidRPr="00EA56CF">
        <w:rPr>
          <w:b/>
          <w:bCs/>
          <w:color w:val="781E65"/>
          <w:szCs w:val="24"/>
          <w:rtl/>
          <w:lang w:bidi="ar-IQ"/>
        </w:rPr>
        <w:t>المرونة في مكان العمل</w:t>
      </w:r>
    </w:p>
    <w:p w:rsidR="00AE5064" w:rsidRPr="00EA56CF" w:rsidRDefault="00AE5064" w:rsidP="005A6F46">
      <w:pPr>
        <w:bidi/>
        <w:spacing w:line="276" w:lineRule="auto"/>
        <w:jc w:val="both"/>
        <w:rPr>
          <w:color w:val="781E65"/>
          <w:szCs w:val="24"/>
        </w:rPr>
      </w:pPr>
      <w:r w:rsidRPr="00EA56CF">
        <w:rPr>
          <w:color w:val="781E65"/>
          <w:szCs w:val="24"/>
          <w:rtl/>
        </w:rPr>
        <w:t>كونك مرناً بشأن ترتيبات العمل من شأنه مساعدة مؤسستك على اجتذاب واستبقاء الموظفين، بمن فيهم الأشخاص ذوي الإعاقة.</w:t>
      </w:r>
    </w:p>
    <w:p w:rsidR="00AE5064" w:rsidRPr="00EA56CF" w:rsidRDefault="00AE5064" w:rsidP="005A6F46">
      <w:pPr>
        <w:bidi/>
        <w:spacing w:line="276" w:lineRule="auto"/>
        <w:jc w:val="both"/>
        <w:rPr>
          <w:rFonts w:eastAsia="Times New Roman"/>
          <w:color w:val="781E65"/>
          <w:szCs w:val="24"/>
          <w:rtl/>
        </w:rPr>
      </w:pPr>
      <w:r w:rsidRPr="00EA56CF">
        <w:rPr>
          <w:color w:val="781E65"/>
          <w:szCs w:val="24"/>
          <w:rtl/>
        </w:rPr>
        <w:t xml:space="preserve">إذا كنت بحاجة إلى إدخال تغييرات في أماكن العمل أو شراء معدات خاصة لموظف من ذوي الإعاقة، فقد يكون ممكناً تغطية تكاليفك عن طريق صندوق مساعدة التوظيف </w:t>
      </w:r>
      <w:r w:rsidRPr="00EA56CF">
        <w:rPr>
          <w:rFonts w:eastAsia="Times New Roman"/>
          <w:color w:val="781E65"/>
          <w:szCs w:val="24"/>
        </w:rPr>
        <w:t>Employment Assistance Fund (EAF)</w:t>
      </w:r>
      <w:r w:rsidRPr="00EA56CF">
        <w:rPr>
          <w:rFonts w:eastAsia="Times New Roman"/>
          <w:color w:val="781E65"/>
          <w:szCs w:val="24"/>
          <w:rtl/>
        </w:rPr>
        <w:t>.</w:t>
      </w:r>
    </w:p>
    <w:p w:rsidR="008A730F" w:rsidRPr="00EA56CF" w:rsidRDefault="00AE5064" w:rsidP="005A6F46">
      <w:pPr>
        <w:pStyle w:val="Default"/>
        <w:bidi/>
        <w:spacing w:line="276" w:lineRule="auto"/>
        <w:jc w:val="both"/>
        <w:rPr>
          <w:rFonts w:ascii="Arial" w:hAnsi="Arial" w:cs="Arial"/>
          <w:color w:val="781E65"/>
        </w:rPr>
      </w:pPr>
      <w:r w:rsidRPr="00EA56CF">
        <w:rPr>
          <w:rFonts w:ascii="Arial" w:hAnsi="Arial" w:cs="Arial"/>
          <w:color w:val="781E65"/>
          <w:rtl/>
        </w:rPr>
        <w:t xml:space="preserve">يمكنك معرفة المزيد من المعلومات حول صندوق مساعدة التوظيف </w:t>
      </w:r>
      <w:r w:rsidRPr="00EA56CF">
        <w:rPr>
          <w:rFonts w:ascii="Arial" w:hAnsi="Arial" w:cs="Arial"/>
          <w:color w:val="781E65"/>
        </w:rPr>
        <w:t>EAF</w:t>
      </w:r>
      <w:r w:rsidRPr="00EA56CF">
        <w:rPr>
          <w:rFonts w:ascii="Arial" w:hAnsi="Arial" w:cs="Arial"/>
          <w:color w:val="781E65"/>
          <w:rtl/>
          <w:lang w:bidi="ar-IQ"/>
        </w:rPr>
        <w:t xml:space="preserve"> وتوظيف ذوي الإعاقة بواسطة موقع </w:t>
      </w:r>
      <w:r w:rsidRPr="00EA56CF">
        <w:rPr>
          <w:rFonts w:ascii="Arial" w:hAnsi="Arial" w:cs="Arial"/>
          <w:color w:val="781E65"/>
        </w:rPr>
        <w:t>JobAccess</w:t>
      </w:r>
      <w:r w:rsidRPr="00EA56CF">
        <w:rPr>
          <w:rFonts w:ascii="Arial" w:hAnsi="Arial" w:cs="Arial"/>
          <w:color w:val="781E65"/>
          <w:rtl/>
        </w:rPr>
        <w:t xml:space="preserve"> على الانترنت</w:t>
      </w:r>
      <w:r w:rsidRPr="00EA56CF">
        <w:rPr>
          <w:color w:val="781E65"/>
          <w:rtl/>
        </w:rPr>
        <w:t xml:space="preserve"> </w:t>
      </w:r>
      <w:r w:rsidRPr="00EA56CF">
        <w:rPr>
          <w:rFonts w:ascii="Arial" w:hAnsi="Arial" w:cs="Arial"/>
          <w:color w:val="781E65"/>
        </w:rPr>
        <w:t>www.jobaccess.gov.au</w:t>
      </w:r>
      <w:r w:rsidRPr="00EA56CF">
        <w:rPr>
          <w:rFonts w:ascii="Arial" w:hAnsi="Arial" w:cs="Arial"/>
          <w:color w:val="781E65"/>
          <w:rtl/>
        </w:rPr>
        <w:t xml:space="preserve">  ويمكنك أن تتصل بمستشار </w:t>
      </w:r>
      <w:r w:rsidRPr="00EA56CF">
        <w:rPr>
          <w:rFonts w:ascii="Arial" w:hAnsi="Arial" w:cs="Arial"/>
          <w:color w:val="781E65"/>
        </w:rPr>
        <w:t>JobAccess</w:t>
      </w:r>
      <w:r w:rsidRPr="00EA56CF">
        <w:rPr>
          <w:rFonts w:ascii="Arial" w:hAnsi="Arial" w:cs="Arial"/>
          <w:color w:val="781E65"/>
          <w:rtl/>
        </w:rPr>
        <w:t xml:space="preserve"> على الرقم </w:t>
      </w:r>
      <w:r w:rsidRPr="00EA56CF">
        <w:rPr>
          <w:rFonts w:ascii="Arial" w:hAnsi="Arial" w:cs="Arial"/>
          <w:color w:val="781E65"/>
        </w:rPr>
        <w:t>1800 464 800</w:t>
      </w:r>
      <w:r w:rsidRPr="00EA56CF">
        <w:rPr>
          <w:rFonts w:ascii="Arial" w:hAnsi="Arial" w:cs="Arial"/>
          <w:color w:val="781E65"/>
          <w:rtl/>
        </w:rPr>
        <w:t xml:space="preserve"> - تفرض رسوم اتصال على المكالمات من الهواتف النقالة.</w:t>
      </w:r>
    </w:p>
    <w:sectPr w:rsidR="008A730F" w:rsidRPr="00EA56CF" w:rsidSect="003959FC">
      <w:footerReference w:type="default" r:id="rId8"/>
      <w:headerReference w:type="first" r:id="rId9"/>
      <w:footerReference w:type="first" r:id="rId10"/>
      <w:type w:val="continuous"/>
      <w:pgSz w:w="11906" w:h="16838" w:code="9"/>
      <w:pgMar w:top="-2694" w:right="907" w:bottom="426" w:left="907" w:header="709" w:footer="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12" w:rsidRDefault="004C1912" w:rsidP="00EF4574">
      <w:pPr>
        <w:spacing w:before="0" w:after="0" w:line="240" w:lineRule="auto"/>
      </w:pPr>
      <w:r>
        <w:separator/>
      </w:r>
    </w:p>
  </w:endnote>
  <w:endnote w:type="continuationSeparator" w:id="0">
    <w:p w:rsidR="004C1912" w:rsidRDefault="004C1912"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4C1912">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9335A4">
      <w:fldChar w:fldCharType="begin"/>
    </w:r>
    <w:r w:rsidR="00B96DCB">
      <w:instrText xml:space="preserve"> PAGE   \* MERGEFORMAT </w:instrText>
    </w:r>
    <w:r w:rsidR="009335A4">
      <w:fldChar w:fldCharType="separate"/>
    </w:r>
    <w:r w:rsidR="005A6F46">
      <w:rPr>
        <w:noProof/>
      </w:rPr>
      <w:t>2</w:t>
    </w:r>
    <w:r w:rsidR="009335A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5A6F46">
      <w:rPr>
        <w:sz w:val="28"/>
        <w:szCs w:val="28"/>
      </w:rPr>
      <w:t>.</w:t>
    </w:r>
  </w:p>
  <w:p w:rsidR="003959FC" w:rsidRPr="00EA56CF" w:rsidRDefault="003959FC" w:rsidP="00D93AC4">
    <w:pPr>
      <w:pStyle w:val="Heading1"/>
      <w:tabs>
        <w:tab w:val="right" w:pos="5879"/>
      </w:tabs>
      <w:spacing w:before="240"/>
      <w:ind w:left="3360"/>
      <w:rPr>
        <w:color w:val="781E65"/>
      </w:rPr>
    </w:pPr>
    <w:r w:rsidRPr="00EA56CF">
      <w:rPr>
        <w:color w:val="781E65"/>
      </w:rPr>
      <w:t>1800 464 800</w:t>
    </w:r>
    <w:r w:rsidRPr="00EA56CF">
      <w:rPr>
        <w:color w:val="781E65"/>
      </w:rPr>
      <w:tab/>
    </w:r>
    <w:r w:rsidRPr="00EA56CF">
      <w:rPr>
        <w:color w:val="781E65"/>
      </w:rPr>
      <w:tab/>
      <w:t>www.jobaccess.gov.au</w:t>
    </w:r>
  </w:p>
  <w:p w:rsidR="003959FC" w:rsidRPr="00EA56CF" w:rsidRDefault="007E0303" w:rsidP="00D93AC4">
    <w:pPr>
      <w:spacing w:before="360"/>
      <w:ind w:left="84"/>
      <w:rPr>
        <w:rStyle w:val="Emphasis"/>
        <w:b/>
        <w:bCs/>
        <w:color w:val="781E65"/>
      </w:rPr>
    </w:pPr>
    <w:r w:rsidRPr="00EA56CF">
      <w:rPr>
        <w:rStyle w:val="Emphasis"/>
        <w:color w:val="781E65"/>
      </w:rPr>
      <w:t>Employing people with disability</w:t>
    </w:r>
    <w:r w:rsidR="001842F3" w:rsidRPr="00EA56CF">
      <w:rPr>
        <w:rStyle w:val="Emphasis"/>
        <w:color w:val="781E65"/>
      </w:rPr>
      <w:t xml:space="preserve"> V.1.0 </w:t>
    </w:r>
    <w:r w:rsidR="005A6F46" w:rsidRPr="00EA56CF">
      <w:rPr>
        <w:rStyle w:val="Emphasis"/>
        <w:color w:val="781E65"/>
      </w:rPr>
      <w:tab/>
    </w:r>
    <w:r w:rsidR="005A6F46" w:rsidRPr="00EA56CF">
      <w:rPr>
        <w:rStyle w:val="Emphasis"/>
        <w:color w:val="781E65"/>
      </w:rPr>
      <w:tab/>
    </w:r>
    <w:r w:rsidR="005A6F46" w:rsidRPr="00EA56CF">
      <w:rPr>
        <w:rStyle w:val="Emphasis"/>
        <w:color w:val="781E65"/>
      </w:rPr>
      <w:tab/>
    </w:r>
    <w:r w:rsidR="005A6F46" w:rsidRPr="00EA56CF">
      <w:rPr>
        <w:rStyle w:val="Emphasis"/>
        <w:color w:val="781E65"/>
      </w:rPr>
      <w:tab/>
      <w:t xml:space="preserve">   </w:t>
    </w:r>
    <w:r w:rsidR="005A6F46" w:rsidRPr="00EA56CF">
      <w:rPr>
        <w:rStyle w:val="Emphasis"/>
        <w:i w:val="0"/>
        <w:iCs w:val="0"/>
        <w:color w:val="781E65"/>
      </w:rPr>
      <w:tab/>
      <w:t xml:space="preserve">     </w:t>
    </w:r>
    <w:r w:rsidR="00AE5064" w:rsidRPr="00EA56CF">
      <w:rPr>
        <w:rStyle w:val="Emphasis"/>
        <w:b/>
        <w:bCs/>
        <w:i w:val="0"/>
        <w:iCs w:val="0"/>
        <w:color w:val="781E65"/>
      </w:rPr>
      <w:t>1895</w:t>
    </w:r>
    <w:r w:rsidR="003B1F53" w:rsidRPr="00EA56CF">
      <w:rPr>
        <w:rStyle w:val="Emphasis"/>
        <w:b/>
        <w:bCs/>
        <w:i w:val="0"/>
        <w:iCs w:val="0"/>
        <w:color w:val="781E65"/>
      </w:rPr>
      <w:t>.06.16</w:t>
    </w:r>
    <w:r w:rsidR="009206B7" w:rsidRPr="00EA56CF">
      <w:rPr>
        <w:rStyle w:val="Emphasis"/>
        <w:b/>
        <w:bCs/>
        <w:i w:val="0"/>
        <w:iCs w:val="0"/>
        <w:color w:val="781E65"/>
      </w:rPr>
      <w:t>A</w:t>
    </w:r>
    <w:r w:rsidR="005A6F46" w:rsidRPr="00EA56CF">
      <w:rPr>
        <w:rStyle w:val="Emphasis"/>
        <w:b/>
        <w:bCs/>
        <w:i w:val="0"/>
        <w:iCs w:val="0"/>
        <w:color w:val="781E65"/>
      </w:rPr>
      <w:t xml:space="preserve"> - ARABIC</w:t>
    </w:r>
  </w:p>
  <w:p w:rsidR="003959FC" w:rsidRPr="005A6F46" w:rsidRDefault="003959FC">
    <w:pPr>
      <w:pStyle w:val="Foo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12" w:rsidRDefault="004C1912" w:rsidP="00EF4574">
      <w:pPr>
        <w:spacing w:before="0" w:after="0" w:line="240" w:lineRule="auto"/>
      </w:pPr>
      <w:r>
        <w:separator/>
      </w:r>
    </w:p>
  </w:footnote>
  <w:footnote w:type="continuationSeparator" w:id="0">
    <w:p w:rsidR="004C1912" w:rsidRDefault="004C1912"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4C1912">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07FBB"/>
    <w:rsid w:val="00010EB8"/>
    <w:rsid w:val="00012A6F"/>
    <w:rsid w:val="0002782F"/>
    <w:rsid w:val="00054E4D"/>
    <w:rsid w:val="00060073"/>
    <w:rsid w:val="000705F9"/>
    <w:rsid w:val="0011342E"/>
    <w:rsid w:val="001541EA"/>
    <w:rsid w:val="001842F3"/>
    <w:rsid w:val="00193871"/>
    <w:rsid w:val="001A7DDE"/>
    <w:rsid w:val="001C5B63"/>
    <w:rsid w:val="001E1DC0"/>
    <w:rsid w:val="00240254"/>
    <w:rsid w:val="00283D44"/>
    <w:rsid w:val="0028602A"/>
    <w:rsid w:val="002C2585"/>
    <w:rsid w:val="002D50EF"/>
    <w:rsid w:val="002E7A2A"/>
    <w:rsid w:val="00301144"/>
    <w:rsid w:val="00311F47"/>
    <w:rsid w:val="003148B7"/>
    <w:rsid w:val="003158C3"/>
    <w:rsid w:val="003274CD"/>
    <w:rsid w:val="00347ED4"/>
    <w:rsid w:val="0035119D"/>
    <w:rsid w:val="003809F7"/>
    <w:rsid w:val="003959FC"/>
    <w:rsid w:val="003A3376"/>
    <w:rsid w:val="003B1F53"/>
    <w:rsid w:val="003B3FA3"/>
    <w:rsid w:val="003B4F12"/>
    <w:rsid w:val="00423F31"/>
    <w:rsid w:val="0042695C"/>
    <w:rsid w:val="00431899"/>
    <w:rsid w:val="00486804"/>
    <w:rsid w:val="00486D22"/>
    <w:rsid w:val="004A02FD"/>
    <w:rsid w:val="004B3775"/>
    <w:rsid w:val="004C1912"/>
    <w:rsid w:val="004C6D88"/>
    <w:rsid w:val="004E058F"/>
    <w:rsid w:val="004E3B87"/>
    <w:rsid w:val="00510921"/>
    <w:rsid w:val="00510AD3"/>
    <w:rsid w:val="00513348"/>
    <w:rsid w:val="005166E8"/>
    <w:rsid w:val="005174E8"/>
    <w:rsid w:val="00533B5D"/>
    <w:rsid w:val="00584817"/>
    <w:rsid w:val="005A1F1B"/>
    <w:rsid w:val="005A6F46"/>
    <w:rsid w:val="005F4FBF"/>
    <w:rsid w:val="00623BA1"/>
    <w:rsid w:val="006346BC"/>
    <w:rsid w:val="0066652A"/>
    <w:rsid w:val="0068036A"/>
    <w:rsid w:val="00682167"/>
    <w:rsid w:val="006B22E4"/>
    <w:rsid w:val="006C42AF"/>
    <w:rsid w:val="00711D8E"/>
    <w:rsid w:val="00712672"/>
    <w:rsid w:val="00734E3F"/>
    <w:rsid w:val="00736985"/>
    <w:rsid w:val="007B6200"/>
    <w:rsid w:val="007B6F69"/>
    <w:rsid w:val="007B6FA4"/>
    <w:rsid w:val="007C3B8D"/>
    <w:rsid w:val="007E0303"/>
    <w:rsid w:val="00801B9F"/>
    <w:rsid w:val="00894A5F"/>
    <w:rsid w:val="008A730F"/>
    <w:rsid w:val="009206B7"/>
    <w:rsid w:val="009335A4"/>
    <w:rsid w:val="009545B5"/>
    <w:rsid w:val="009A4B7C"/>
    <w:rsid w:val="009B4D3B"/>
    <w:rsid w:val="009D7407"/>
    <w:rsid w:val="009E0866"/>
    <w:rsid w:val="00A24A62"/>
    <w:rsid w:val="00A31C9F"/>
    <w:rsid w:val="00A55104"/>
    <w:rsid w:val="00AC164A"/>
    <w:rsid w:val="00AE5064"/>
    <w:rsid w:val="00AF1058"/>
    <w:rsid w:val="00AF2050"/>
    <w:rsid w:val="00B20344"/>
    <w:rsid w:val="00B66B14"/>
    <w:rsid w:val="00B96DCB"/>
    <w:rsid w:val="00BB26C5"/>
    <w:rsid w:val="00BC3098"/>
    <w:rsid w:val="00BF4DE6"/>
    <w:rsid w:val="00C42CDE"/>
    <w:rsid w:val="00CA37B1"/>
    <w:rsid w:val="00CB1959"/>
    <w:rsid w:val="00CD5CE5"/>
    <w:rsid w:val="00D01284"/>
    <w:rsid w:val="00D0296C"/>
    <w:rsid w:val="00D0598D"/>
    <w:rsid w:val="00D92BDA"/>
    <w:rsid w:val="00D93AC4"/>
    <w:rsid w:val="00D948FE"/>
    <w:rsid w:val="00DB62EE"/>
    <w:rsid w:val="00E357B7"/>
    <w:rsid w:val="00E53800"/>
    <w:rsid w:val="00E6081F"/>
    <w:rsid w:val="00E67F4B"/>
    <w:rsid w:val="00EA04B2"/>
    <w:rsid w:val="00EA20F3"/>
    <w:rsid w:val="00EA56CF"/>
    <w:rsid w:val="00EC15AE"/>
    <w:rsid w:val="00ED43D1"/>
    <w:rsid w:val="00EE4EE1"/>
    <w:rsid w:val="00EF4574"/>
    <w:rsid w:val="00F1519E"/>
    <w:rsid w:val="00F2684E"/>
    <w:rsid w:val="00F342B7"/>
    <w:rsid w:val="00F729EF"/>
    <w:rsid w:val="00F77CAE"/>
    <w:rsid w:val="00F96BB9"/>
    <w:rsid w:val="00FB2277"/>
    <w:rsid w:val="00FE4F3F"/>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E30320AA-7343-4F42-B9C7-518BB42A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character" w:customStyle="1" w:styleId="GridTable1Light1">
    <w:name w:val="Grid Table 1 Light1"/>
    <w:uiPriority w:val="33"/>
    <w:qFormat/>
    <w:rsid w:val="00D0598D"/>
    <w:rPr>
      <w:i/>
      <w:iCs/>
      <w:smallCaps/>
      <w:spacing w:val="5"/>
    </w:rPr>
  </w:style>
  <w:style w:type="character" w:styleId="BookTitle">
    <w:name w:val="Book Title"/>
    <w:uiPriority w:val="33"/>
    <w:qFormat/>
    <w:rsid w:val="003B1F53"/>
    <w:rPr>
      <w:i/>
      <w:iCs/>
      <w:smallCaps/>
      <w:spacing w:val="5"/>
    </w:rPr>
  </w:style>
  <w:style w:type="paragraph" w:styleId="NormalWeb">
    <w:name w:val="Normal (Web)"/>
    <w:basedOn w:val="Normal"/>
    <w:uiPriority w:val="99"/>
    <w:unhideWhenUsed/>
    <w:rsid w:val="003B1F53"/>
    <w:pPr>
      <w:suppressAutoHyphens w:val="0"/>
      <w:spacing w:before="240" w:after="240" w:line="240" w:lineRule="auto"/>
    </w:pPr>
    <w:rPr>
      <w:rFonts w:ascii="Times New Roman" w:eastAsia="Times New Roman" w:hAnsi="Times New Roman" w:cs="Times New Roman"/>
      <w:color w:val="auto"/>
      <w:szCs w:val="24"/>
      <w:lang w:eastAsia="en-AU"/>
    </w:rPr>
  </w:style>
  <w:style w:type="paragraph" w:customStyle="1" w:styleId="Default">
    <w:name w:val="Default"/>
    <w:rsid w:val="00AE5064"/>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6BE1-44AE-443F-A684-6ACD6AA2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7</cp:revision>
  <cp:lastPrinted>2013-10-29T09:49:00Z</cp:lastPrinted>
  <dcterms:created xsi:type="dcterms:W3CDTF">2016-07-15T01:42:00Z</dcterms:created>
  <dcterms:modified xsi:type="dcterms:W3CDTF">2016-07-20T09:05:00Z</dcterms:modified>
</cp:coreProperties>
</file>